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98D" w:rsidRPr="00BF700D" w:rsidRDefault="002B298D" w:rsidP="002B298D">
      <w:pPr>
        <w:jc w:val="center"/>
        <w:rPr>
          <w:rFonts w:cs="Arial"/>
          <w:b/>
          <w:color w:val="C00000"/>
          <w:sz w:val="36"/>
          <w:szCs w:val="28"/>
        </w:rPr>
      </w:pPr>
      <w:r w:rsidRPr="00BF700D">
        <w:rPr>
          <w:rFonts w:cs="Arial"/>
          <w:b/>
          <w:color w:val="C00000"/>
          <w:sz w:val="36"/>
          <w:szCs w:val="28"/>
        </w:rPr>
        <w:t>IMPRESE MANIFATTURIERE</w:t>
      </w:r>
    </w:p>
    <w:p w:rsidR="002B298D" w:rsidRPr="00BF700D" w:rsidRDefault="002B298D" w:rsidP="002B298D">
      <w:pPr>
        <w:jc w:val="center"/>
        <w:rPr>
          <w:rFonts w:cs="Arial"/>
          <w:b/>
          <w:color w:val="C00000"/>
          <w:sz w:val="16"/>
          <w:szCs w:val="12"/>
        </w:rPr>
      </w:pPr>
    </w:p>
    <w:p w:rsidR="002B298D" w:rsidRPr="00BF700D" w:rsidRDefault="002B298D" w:rsidP="002B298D">
      <w:pPr>
        <w:jc w:val="center"/>
        <w:rPr>
          <w:rFonts w:cs="Arial"/>
          <w:b/>
          <w:color w:val="C00000"/>
          <w:sz w:val="28"/>
          <w:szCs w:val="22"/>
        </w:rPr>
      </w:pPr>
      <w:r w:rsidRPr="00BF700D">
        <w:rPr>
          <w:rFonts w:cs="Arial"/>
          <w:b/>
          <w:color w:val="C00000"/>
          <w:sz w:val="28"/>
          <w:szCs w:val="22"/>
        </w:rPr>
        <w:t xml:space="preserve">L’andamento economico di industria e artigianato in Lombardia </w:t>
      </w:r>
      <w:r w:rsidR="00BC5637">
        <w:rPr>
          <w:rFonts w:cs="Arial"/>
          <w:b/>
          <w:color w:val="C00000"/>
          <w:sz w:val="28"/>
          <w:szCs w:val="22"/>
        </w:rPr>
        <w:t xml:space="preserve">- </w:t>
      </w:r>
      <w:r w:rsidR="00B066BD" w:rsidRPr="00BF700D">
        <w:rPr>
          <w:rFonts w:cs="Arial"/>
          <w:b/>
          <w:color w:val="C00000"/>
          <w:sz w:val="28"/>
          <w:szCs w:val="22"/>
        </w:rPr>
        <w:t xml:space="preserve">Dati </w:t>
      </w:r>
      <w:r w:rsidR="00604CFC" w:rsidRPr="00BF700D">
        <w:rPr>
          <w:rFonts w:cs="Arial"/>
          <w:b/>
          <w:color w:val="C00000"/>
          <w:sz w:val="28"/>
          <w:szCs w:val="22"/>
        </w:rPr>
        <w:t>1</w:t>
      </w:r>
      <w:r w:rsidRPr="00BF700D">
        <w:rPr>
          <w:rFonts w:cs="Arial"/>
          <w:b/>
          <w:color w:val="C00000"/>
          <w:sz w:val="28"/>
          <w:szCs w:val="22"/>
        </w:rPr>
        <w:t>° trimestre 20</w:t>
      </w:r>
      <w:r w:rsidR="0084368B" w:rsidRPr="00BF700D">
        <w:rPr>
          <w:rFonts w:cs="Arial"/>
          <w:b/>
          <w:color w:val="C00000"/>
          <w:sz w:val="28"/>
          <w:szCs w:val="22"/>
        </w:rPr>
        <w:t>2</w:t>
      </w:r>
      <w:r w:rsidR="00604CFC" w:rsidRPr="00BF700D">
        <w:rPr>
          <w:rFonts w:cs="Arial"/>
          <w:b/>
          <w:color w:val="C00000"/>
          <w:sz w:val="28"/>
          <w:szCs w:val="22"/>
        </w:rPr>
        <w:t>2</w:t>
      </w:r>
    </w:p>
    <w:p w:rsidR="002B298D" w:rsidRPr="00430502" w:rsidRDefault="002B298D" w:rsidP="005A7FF3">
      <w:pPr>
        <w:rPr>
          <w:b/>
          <w:bCs/>
          <w:color w:val="C00000"/>
          <w:sz w:val="18"/>
        </w:rPr>
      </w:pPr>
    </w:p>
    <w:p w:rsidR="004E2112" w:rsidRPr="00430502" w:rsidRDefault="00F84760" w:rsidP="00451AAF">
      <w:pPr>
        <w:jc w:val="center"/>
        <w:rPr>
          <w:b/>
          <w:bCs/>
          <w:sz w:val="28"/>
          <w:szCs w:val="26"/>
        </w:rPr>
      </w:pPr>
      <w:r w:rsidRPr="00430502">
        <w:rPr>
          <w:b/>
          <w:bCs/>
          <w:sz w:val="28"/>
          <w:szCs w:val="26"/>
        </w:rPr>
        <w:t xml:space="preserve">Dichiarazioni del </w:t>
      </w:r>
      <w:r w:rsidR="00B65E99" w:rsidRPr="00430502">
        <w:rPr>
          <w:b/>
          <w:bCs/>
          <w:sz w:val="28"/>
          <w:szCs w:val="26"/>
        </w:rPr>
        <w:t>Presidente</w:t>
      </w:r>
      <w:r w:rsidR="00777E9D" w:rsidRPr="00430502">
        <w:rPr>
          <w:b/>
          <w:bCs/>
          <w:sz w:val="28"/>
          <w:szCs w:val="26"/>
        </w:rPr>
        <w:t xml:space="preserve"> di Unioncamere Lombardia</w:t>
      </w:r>
    </w:p>
    <w:p w:rsidR="000E0279" w:rsidRDefault="00E01564" w:rsidP="00451AAF">
      <w:pPr>
        <w:jc w:val="center"/>
        <w:rPr>
          <w:b/>
          <w:bCs/>
          <w:sz w:val="28"/>
          <w:szCs w:val="26"/>
        </w:rPr>
      </w:pPr>
      <w:r w:rsidRPr="00430502">
        <w:rPr>
          <w:b/>
          <w:bCs/>
          <w:sz w:val="28"/>
          <w:szCs w:val="26"/>
        </w:rPr>
        <w:t>Gian Domenico Auricchio</w:t>
      </w:r>
    </w:p>
    <w:p w:rsidR="001936BA" w:rsidRPr="007748B8" w:rsidRDefault="001936BA" w:rsidP="00451AAF">
      <w:pPr>
        <w:jc w:val="center"/>
        <w:rPr>
          <w:b/>
          <w:bCs/>
          <w:szCs w:val="26"/>
        </w:rPr>
      </w:pPr>
    </w:p>
    <w:p w:rsidR="00000581" w:rsidRPr="00BF700D" w:rsidRDefault="00000581" w:rsidP="00803B8D">
      <w:pPr>
        <w:jc w:val="both"/>
        <w:rPr>
          <w:bCs/>
          <w:sz w:val="28"/>
          <w:szCs w:val="22"/>
        </w:rPr>
      </w:pPr>
      <w:r w:rsidRPr="00BF700D">
        <w:rPr>
          <w:bCs/>
          <w:sz w:val="28"/>
          <w:szCs w:val="22"/>
        </w:rPr>
        <w:t xml:space="preserve">I risultati del </w:t>
      </w:r>
      <w:r w:rsidR="009C3D1B">
        <w:rPr>
          <w:bCs/>
          <w:sz w:val="28"/>
          <w:szCs w:val="22"/>
        </w:rPr>
        <w:t>I°</w:t>
      </w:r>
      <w:r w:rsidRPr="00BF700D">
        <w:rPr>
          <w:bCs/>
          <w:sz w:val="28"/>
          <w:szCs w:val="22"/>
        </w:rPr>
        <w:t xml:space="preserve"> trimestre 2022 </w:t>
      </w:r>
      <w:r w:rsidR="00C809FE">
        <w:rPr>
          <w:bCs/>
          <w:sz w:val="28"/>
          <w:szCs w:val="22"/>
        </w:rPr>
        <w:t xml:space="preserve">ci </w:t>
      </w:r>
      <w:r w:rsidRPr="00BF700D">
        <w:rPr>
          <w:bCs/>
          <w:sz w:val="28"/>
          <w:szCs w:val="22"/>
        </w:rPr>
        <w:t>forniscono indicazioni preziose sull</w:t>
      </w:r>
      <w:r w:rsidR="009C3D1B">
        <w:rPr>
          <w:bCs/>
          <w:sz w:val="28"/>
          <w:szCs w:val="22"/>
        </w:rPr>
        <w:t xml:space="preserve">a </w:t>
      </w:r>
      <w:r w:rsidRPr="00BF700D">
        <w:rPr>
          <w:bCs/>
          <w:sz w:val="28"/>
          <w:szCs w:val="22"/>
        </w:rPr>
        <w:t xml:space="preserve">evoluzione dell’economia lombarda in </w:t>
      </w:r>
      <w:r w:rsidR="009C3D1B">
        <w:rPr>
          <w:bCs/>
          <w:sz w:val="28"/>
          <w:szCs w:val="22"/>
        </w:rPr>
        <w:t>un</w:t>
      </w:r>
      <w:r w:rsidRPr="00BF700D">
        <w:rPr>
          <w:bCs/>
          <w:sz w:val="28"/>
          <w:szCs w:val="22"/>
        </w:rPr>
        <w:t xml:space="preserve"> </w:t>
      </w:r>
      <w:r w:rsidR="009C3D1B" w:rsidRPr="00BF700D">
        <w:rPr>
          <w:bCs/>
          <w:sz w:val="28"/>
          <w:szCs w:val="22"/>
        </w:rPr>
        <w:t xml:space="preserve">contesto </w:t>
      </w:r>
      <w:r w:rsidR="00C809FE">
        <w:rPr>
          <w:bCs/>
          <w:sz w:val="28"/>
          <w:szCs w:val="22"/>
        </w:rPr>
        <w:t xml:space="preserve">nuovo e </w:t>
      </w:r>
      <w:r w:rsidRPr="00BF700D">
        <w:rPr>
          <w:bCs/>
          <w:sz w:val="28"/>
          <w:szCs w:val="22"/>
        </w:rPr>
        <w:t>difficile caratterizzato da forti rischi geopoli</w:t>
      </w:r>
      <w:r w:rsidR="004C0C1B" w:rsidRPr="00BF700D">
        <w:rPr>
          <w:bCs/>
          <w:sz w:val="28"/>
          <w:szCs w:val="22"/>
        </w:rPr>
        <w:t xml:space="preserve">tici, carenza di </w:t>
      </w:r>
      <w:r w:rsidR="009C3D1B" w:rsidRPr="00BF700D">
        <w:rPr>
          <w:bCs/>
          <w:sz w:val="28"/>
          <w:szCs w:val="22"/>
        </w:rPr>
        <w:t xml:space="preserve">componenti e </w:t>
      </w:r>
      <w:r w:rsidR="004C0C1B" w:rsidRPr="00BF700D">
        <w:rPr>
          <w:bCs/>
          <w:sz w:val="28"/>
          <w:szCs w:val="22"/>
        </w:rPr>
        <w:t xml:space="preserve">materiali e forte incremento dei </w:t>
      </w:r>
      <w:r w:rsidR="00BE0634" w:rsidRPr="00BF700D">
        <w:rPr>
          <w:bCs/>
          <w:sz w:val="28"/>
          <w:szCs w:val="22"/>
        </w:rPr>
        <w:t xml:space="preserve">prezzi di </w:t>
      </w:r>
      <w:r w:rsidR="001B3039" w:rsidRPr="00BF700D">
        <w:rPr>
          <w:bCs/>
          <w:sz w:val="28"/>
          <w:szCs w:val="22"/>
        </w:rPr>
        <w:t>materie</w:t>
      </w:r>
      <w:r w:rsidR="00BE0634" w:rsidRPr="00BF700D">
        <w:rPr>
          <w:bCs/>
          <w:sz w:val="28"/>
          <w:szCs w:val="22"/>
        </w:rPr>
        <w:t xml:space="preserve"> prime </w:t>
      </w:r>
      <w:r w:rsidR="004C0C1B" w:rsidRPr="00BF700D">
        <w:rPr>
          <w:bCs/>
          <w:sz w:val="28"/>
          <w:szCs w:val="22"/>
        </w:rPr>
        <w:t>e</w:t>
      </w:r>
      <w:r w:rsidR="00BE0634" w:rsidRPr="00BF700D">
        <w:rPr>
          <w:bCs/>
          <w:sz w:val="28"/>
          <w:szCs w:val="22"/>
        </w:rPr>
        <w:t>d</w:t>
      </w:r>
      <w:r w:rsidR="004C0C1B" w:rsidRPr="00BF700D">
        <w:rPr>
          <w:bCs/>
          <w:sz w:val="28"/>
          <w:szCs w:val="22"/>
        </w:rPr>
        <w:t xml:space="preserve"> energia.</w:t>
      </w:r>
      <w:r w:rsidR="000648A4">
        <w:rPr>
          <w:bCs/>
          <w:sz w:val="28"/>
          <w:szCs w:val="22"/>
        </w:rPr>
        <w:t xml:space="preserve"> </w:t>
      </w:r>
    </w:p>
    <w:p w:rsidR="004C0C1B" w:rsidRPr="00BC5637" w:rsidRDefault="004C0C1B" w:rsidP="00803B8D">
      <w:pPr>
        <w:jc w:val="both"/>
        <w:rPr>
          <w:bCs/>
          <w:color w:val="FF0000"/>
          <w:sz w:val="14"/>
          <w:szCs w:val="22"/>
        </w:rPr>
      </w:pPr>
    </w:p>
    <w:p w:rsidR="004C0C1B" w:rsidRPr="00BF700D" w:rsidRDefault="000648A4" w:rsidP="00803B8D">
      <w:pPr>
        <w:jc w:val="both"/>
        <w:rPr>
          <w:bCs/>
          <w:sz w:val="28"/>
          <w:szCs w:val="22"/>
        </w:rPr>
      </w:pPr>
      <w:r w:rsidRPr="00C809FE">
        <w:rPr>
          <w:bCs/>
          <w:sz w:val="28"/>
          <w:szCs w:val="22"/>
          <w:u w:val="single"/>
        </w:rPr>
        <w:t>Le notizie sono buone</w:t>
      </w:r>
      <w:r w:rsidR="00BC5637">
        <w:rPr>
          <w:bCs/>
          <w:sz w:val="28"/>
          <w:szCs w:val="22"/>
        </w:rPr>
        <w:t>: l</w:t>
      </w:r>
      <w:r w:rsidR="004C0C1B" w:rsidRPr="00BF700D">
        <w:rPr>
          <w:bCs/>
          <w:sz w:val="28"/>
          <w:szCs w:val="22"/>
        </w:rPr>
        <w:t xml:space="preserve">a nostra produzione manifatturiera </w:t>
      </w:r>
      <w:r w:rsidR="0094739E">
        <w:rPr>
          <w:bCs/>
          <w:sz w:val="28"/>
          <w:szCs w:val="22"/>
        </w:rPr>
        <w:t>mantiene i</w:t>
      </w:r>
      <w:r w:rsidR="004C0C1B" w:rsidRPr="00BF700D">
        <w:rPr>
          <w:bCs/>
          <w:sz w:val="28"/>
          <w:szCs w:val="22"/>
        </w:rPr>
        <w:t xml:space="preserve">l percorso di crescita iniziato con le riaperture della seconda metà del 2020. </w:t>
      </w:r>
      <w:r>
        <w:rPr>
          <w:bCs/>
          <w:sz w:val="28"/>
          <w:szCs w:val="22"/>
        </w:rPr>
        <w:t>Questa</w:t>
      </w:r>
      <w:r w:rsidR="004C0C1B" w:rsidRPr="00BF700D">
        <w:rPr>
          <w:bCs/>
          <w:sz w:val="28"/>
          <w:szCs w:val="22"/>
        </w:rPr>
        <w:t xml:space="preserve"> crescita resta diffusa </w:t>
      </w:r>
      <w:r>
        <w:rPr>
          <w:bCs/>
          <w:sz w:val="28"/>
          <w:szCs w:val="22"/>
        </w:rPr>
        <w:t xml:space="preserve">– anche se </w:t>
      </w:r>
      <w:r w:rsidR="004C0C1B" w:rsidRPr="00BF700D">
        <w:rPr>
          <w:bCs/>
          <w:sz w:val="28"/>
          <w:szCs w:val="22"/>
        </w:rPr>
        <w:t>l</w:t>
      </w:r>
      <w:r>
        <w:rPr>
          <w:bCs/>
          <w:sz w:val="28"/>
          <w:szCs w:val="22"/>
        </w:rPr>
        <w:t xml:space="preserve">a sua </w:t>
      </w:r>
      <w:r w:rsidR="004C0C1B" w:rsidRPr="00BF700D">
        <w:rPr>
          <w:bCs/>
          <w:sz w:val="28"/>
          <w:szCs w:val="22"/>
        </w:rPr>
        <w:t xml:space="preserve">intensità si </w:t>
      </w:r>
      <w:r>
        <w:rPr>
          <w:bCs/>
          <w:sz w:val="28"/>
          <w:szCs w:val="22"/>
        </w:rPr>
        <w:t>è ridotta</w:t>
      </w:r>
      <w:r w:rsidR="00BC5637">
        <w:rPr>
          <w:bCs/>
          <w:sz w:val="28"/>
          <w:szCs w:val="22"/>
        </w:rPr>
        <w:t xml:space="preserve"> -</w:t>
      </w:r>
      <w:r w:rsidR="00C809FE">
        <w:rPr>
          <w:bCs/>
          <w:sz w:val="28"/>
          <w:szCs w:val="22"/>
        </w:rPr>
        <w:t xml:space="preserve"> </w:t>
      </w:r>
      <w:r w:rsidR="004C0C1B" w:rsidRPr="00BF700D">
        <w:rPr>
          <w:bCs/>
          <w:sz w:val="28"/>
          <w:szCs w:val="22"/>
        </w:rPr>
        <w:t xml:space="preserve">in particolare per i settori che per primi hanno imboccato la via della ripresa. Questi risultati positivi sono sostenuti da </w:t>
      </w:r>
      <w:r w:rsidR="004C0C1B" w:rsidRPr="00C809FE">
        <w:rPr>
          <w:bCs/>
          <w:sz w:val="28"/>
          <w:szCs w:val="22"/>
          <w:u w:val="single"/>
        </w:rPr>
        <w:t>portafogli ordini ancora ai massimi</w:t>
      </w:r>
      <w:r>
        <w:rPr>
          <w:bCs/>
          <w:sz w:val="28"/>
          <w:szCs w:val="22"/>
        </w:rPr>
        <w:t xml:space="preserve"> e p</w:t>
      </w:r>
      <w:r w:rsidR="004C0C1B" w:rsidRPr="00BF700D">
        <w:rPr>
          <w:bCs/>
          <w:sz w:val="28"/>
          <w:szCs w:val="22"/>
        </w:rPr>
        <w:t>er la maggior parte dei settori il problema non sembra essere la domanda, ma bensì la capacità produttiva ostacolata da carenza di materiali e componenti e prezzi crescenti di materiali ed energia.</w:t>
      </w:r>
    </w:p>
    <w:p w:rsidR="00FF74BD" w:rsidRPr="00BC5637" w:rsidRDefault="00FF74BD" w:rsidP="00803B8D">
      <w:pPr>
        <w:jc w:val="both"/>
        <w:rPr>
          <w:bCs/>
          <w:color w:val="FF0000"/>
          <w:sz w:val="14"/>
          <w:szCs w:val="22"/>
        </w:rPr>
      </w:pPr>
    </w:p>
    <w:p w:rsidR="004C0C1B" w:rsidRPr="00BF700D" w:rsidRDefault="00BF700D" w:rsidP="00803B8D">
      <w:pPr>
        <w:jc w:val="both"/>
        <w:rPr>
          <w:bCs/>
          <w:sz w:val="28"/>
          <w:szCs w:val="22"/>
        </w:rPr>
      </w:pPr>
      <w:r>
        <w:rPr>
          <w:bCs/>
          <w:sz w:val="28"/>
          <w:szCs w:val="22"/>
        </w:rPr>
        <w:t xml:space="preserve">I dati raccolti dalla nostra indagine ci dicono che </w:t>
      </w:r>
      <w:r w:rsidR="00FF74BD" w:rsidRPr="00BF700D">
        <w:rPr>
          <w:bCs/>
          <w:sz w:val="28"/>
          <w:szCs w:val="22"/>
        </w:rPr>
        <w:t xml:space="preserve">la crescita nei costi di materie prime ha ormai raggiunto +57,6% tendenziale per l’industria e +76,8% per le imprese artigiane. </w:t>
      </w:r>
      <w:r w:rsidR="000648A4" w:rsidRPr="00BF700D">
        <w:rPr>
          <w:bCs/>
          <w:sz w:val="28"/>
          <w:szCs w:val="22"/>
        </w:rPr>
        <w:t>Il ricco portafoglio ordini non riesce</w:t>
      </w:r>
      <w:r w:rsidR="00C809FE">
        <w:rPr>
          <w:bCs/>
          <w:sz w:val="28"/>
          <w:szCs w:val="22"/>
        </w:rPr>
        <w:t xml:space="preserve"> a volte</w:t>
      </w:r>
      <w:r w:rsidR="000648A4" w:rsidRPr="00BF700D">
        <w:rPr>
          <w:bCs/>
          <w:sz w:val="28"/>
          <w:szCs w:val="22"/>
        </w:rPr>
        <w:t xml:space="preserve"> ad essere velocemente smaltito</w:t>
      </w:r>
      <w:r w:rsidR="00C809FE">
        <w:rPr>
          <w:bCs/>
          <w:sz w:val="28"/>
          <w:szCs w:val="22"/>
        </w:rPr>
        <w:t xml:space="preserve">. Tuttavia, </w:t>
      </w:r>
      <w:r w:rsidR="000648A4" w:rsidRPr="00BF700D">
        <w:rPr>
          <w:bCs/>
          <w:sz w:val="28"/>
          <w:szCs w:val="22"/>
        </w:rPr>
        <w:t>rimandare la produzione in attesa della consegna dei componenti necessari rischia di aggiungere anche nuovi costi legati al continuo aumento dei prezzi dell’energia</w:t>
      </w:r>
      <w:r w:rsidR="000648A4">
        <w:rPr>
          <w:bCs/>
          <w:sz w:val="28"/>
          <w:szCs w:val="22"/>
        </w:rPr>
        <w:t>.</w:t>
      </w:r>
      <w:r w:rsidR="009C3D1B">
        <w:rPr>
          <w:bCs/>
          <w:sz w:val="28"/>
          <w:szCs w:val="22"/>
        </w:rPr>
        <w:t xml:space="preserve"> </w:t>
      </w:r>
      <w:r w:rsidR="004C0C1B" w:rsidRPr="00BF700D">
        <w:rPr>
          <w:bCs/>
          <w:sz w:val="28"/>
          <w:szCs w:val="22"/>
        </w:rPr>
        <w:t>Gli imprenditori reagiscono a queste difficoltà con aspettative ancora positive per il prossimo trimestre</w:t>
      </w:r>
      <w:r w:rsidR="000648A4">
        <w:rPr>
          <w:bCs/>
          <w:sz w:val="28"/>
          <w:szCs w:val="22"/>
        </w:rPr>
        <w:t>,</w:t>
      </w:r>
      <w:r w:rsidR="004C0C1B" w:rsidRPr="00BF700D">
        <w:rPr>
          <w:bCs/>
          <w:sz w:val="28"/>
          <w:szCs w:val="22"/>
        </w:rPr>
        <w:t xml:space="preserve"> ma in sensibile peggioramento</w:t>
      </w:r>
      <w:r w:rsidR="000648A4">
        <w:rPr>
          <w:bCs/>
          <w:sz w:val="28"/>
          <w:szCs w:val="22"/>
        </w:rPr>
        <w:t xml:space="preserve"> come riflesso della loro preoccupazione</w:t>
      </w:r>
      <w:r w:rsidR="00C809FE">
        <w:rPr>
          <w:bCs/>
          <w:sz w:val="28"/>
          <w:szCs w:val="22"/>
        </w:rPr>
        <w:t>. P</w:t>
      </w:r>
      <w:r w:rsidR="00C809FE" w:rsidRPr="00BF700D">
        <w:rPr>
          <w:bCs/>
          <w:sz w:val="28"/>
          <w:szCs w:val="22"/>
        </w:rPr>
        <w:t>er le imprese di minori dimensioni e meno strutturate</w:t>
      </w:r>
      <w:r w:rsidR="00C809FE">
        <w:rPr>
          <w:bCs/>
          <w:sz w:val="28"/>
          <w:szCs w:val="22"/>
        </w:rPr>
        <w:t xml:space="preserve"> le </w:t>
      </w:r>
      <w:r w:rsidR="000648A4">
        <w:rPr>
          <w:bCs/>
          <w:sz w:val="28"/>
          <w:szCs w:val="22"/>
        </w:rPr>
        <w:t xml:space="preserve">aspettative sono calate </w:t>
      </w:r>
      <w:r w:rsidR="004C0C1B" w:rsidRPr="00BF700D">
        <w:rPr>
          <w:bCs/>
          <w:sz w:val="28"/>
          <w:szCs w:val="22"/>
        </w:rPr>
        <w:t xml:space="preserve">fino a </w:t>
      </w:r>
      <w:r w:rsidR="00BE0634" w:rsidRPr="00BF700D">
        <w:rPr>
          <w:bCs/>
          <w:sz w:val="28"/>
          <w:szCs w:val="22"/>
        </w:rPr>
        <w:t>tornare</w:t>
      </w:r>
      <w:r w:rsidR="004C0C1B" w:rsidRPr="00BF700D">
        <w:rPr>
          <w:bCs/>
          <w:sz w:val="28"/>
          <w:szCs w:val="22"/>
        </w:rPr>
        <w:t xml:space="preserve"> negative.</w:t>
      </w:r>
    </w:p>
    <w:p w:rsidR="004C0C1B" w:rsidRPr="00BF700D" w:rsidRDefault="004C0C1B" w:rsidP="00803B8D">
      <w:pPr>
        <w:jc w:val="both"/>
        <w:rPr>
          <w:bCs/>
          <w:sz w:val="28"/>
          <w:szCs w:val="22"/>
        </w:rPr>
      </w:pPr>
    </w:p>
    <w:p w:rsidR="00CA24BF" w:rsidRPr="008E4E61" w:rsidRDefault="006036BD" w:rsidP="00803B8D">
      <w:pPr>
        <w:jc w:val="both"/>
        <w:rPr>
          <w:sz w:val="28"/>
          <w:szCs w:val="24"/>
          <w:u w:val="single"/>
        </w:rPr>
      </w:pPr>
      <w:r w:rsidRPr="008E4E61">
        <w:rPr>
          <w:sz w:val="28"/>
          <w:szCs w:val="24"/>
          <w:u w:val="single"/>
        </w:rPr>
        <w:t>PRODUZIONE</w:t>
      </w:r>
    </w:p>
    <w:p w:rsidR="00E2050F" w:rsidRPr="008E4E61" w:rsidRDefault="0094077C" w:rsidP="00803B8D">
      <w:pPr>
        <w:jc w:val="both"/>
        <w:rPr>
          <w:sz w:val="28"/>
          <w:szCs w:val="24"/>
        </w:rPr>
      </w:pPr>
      <w:r w:rsidRPr="008E4E61">
        <w:rPr>
          <w:sz w:val="28"/>
          <w:szCs w:val="24"/>
        </w:rPr>
        <w:t xml:space="preserve">Il dato </w:t>
      </w:r>
      <w:r w:rsidR="000768F4" w:rsidRPr="008E4E61">
        <w:rPr>
          <w:sz w:val="28"/>
          <w:szCs w:val="24"/>
        </w:rPr>
        <w:t>saliente</w:t>
      </w:r>
      <w:r w:rsidRPr="008E4E61">
        <w:rPr>
          <w:sz w:val="28"/>
          <w:szCs w:val="24"/>
        </w:rPr>
        <w:t xml:space="preserve"> è </w:t>
      </w:r>
      <w:r w:rsidR="00C24CA0" w:rsidRPr="008E4E61">
        <w:rPr>
          <w:sz w:val="28"/>
          <w:szCs w:val="24"/>
        </w:rPr>
        <w:t xml:space="preserve">che </w:t>
      </w:r>
      <w:r w:rsidR="00C24CA0" w:rsidRPr="00C809FE">
        <w:rPr>
          <w:b/>
          <w:sz w:val="28"/>
          <w:szCs w:val="24"/>
        </w:rPr>
        <w:t>nel primo trimestre</w:t>
      </w:r>
      <w:r w:rsidR="00624116" w:rsidRPr="00C809FE">
        <w:rPr>
          <w:b/>
          <w:sz w:val="28"/>
          <w:szCs w:val="24"/>
        </w:rPr>
        <w:t xml:space="preserve"> 202</w:t>
      </w:r>
      <w:r w:rsidR="00C24CA0" w:rsidRPr="00C809FE">
        <w:rPr>
          <w:b/>
          <w:sz w:val="28"/>
          <w:szCs w:val="24"/>
        </w:rPr>
        <w:t>2</w:t>
      </w:r>
      <w:r w:rsidR="00624116" w:rsidRPr="00C809FE">
        <w:rPr>
          <w:b/>
          <w:sz w:val="28"/>
          <w:szCs w:val="24"/>
        </w:rPr>
        <w:t xml:space="preserve"> </w:t>
      </w:r>
      <w:r w:rsidR="00C24CA0" w:rsidRPr="00C809FE">
        <w:rPr>
          <w:b/>
          <w:sz w:val="28"/>
          <w:szCs w:val="24"/>
        </w:rPr>
        <w:t xml:space="preserve">prosegue la crescita dei livelli produttivi, sia </w:t>
      </w:r>
      <w:r w:rsidR="00624116" w:rsidRPr="00C809FE">
        <w:rPr>
          <w:b/>
          <w:sz w:val="28"/>
          <w:szCs w:val="24"/>
        </w:rPr>
        <w:t>per l’industria (+</w:t>
      </w:r>
      <w:r w:rsidR="00C24CA0" w:rsidRPr="00C809FE">
        <w:rPr>
          <w:b/>
          <w:sz w:val="28"/>
          <w:szCs w:val="24"/>
        </w:rPr>
        <w:t>1</w:t>
      </w:r>
      <w:r w:rsidR="00624116" w:rsidRPr="00C809FE">
        <w:rPr>
          <w:b/>
          <w:sz w:val="28"/>
          <w:szCs w:val="24"/>
        </w:rPr>
        <w:t>,</w:t>
      </w:r>
      <w:r w:rsidR="00C24CA0" w:rsidRPr="00C809FE">
        <w:rPr>
          <w:b/>
          <w:sz w:val="28"/>
          <w:szCs w:val="24"/>
        </w:rPr>
        <w:t>8</w:t>
      </w:r>
      <w:r w:rsidR="00624116" w:rsidRPr="00C809FE">
        <w:rPr>
          <w:b/>
          <w:sz w:val="28"/>
          <w:szCs w:val="24"/>
        </w:rPr>
        <w:t xml:space="preserve">%) </w:t>
      </w:r>
      <w:r w:rsidR="00C24CA0" w:rsidRPr="00C809FE">
        <w:rPr>
          <w:b/>
          <w:sz w:val="28"/>
          <w:szCs w:val="24"/>
        </w:rPr>
        <w:t>che</w:t>
      </w:r>
      <w:r w:rsidR="00624116" w:rsidRPr="00C809FE">
        <w:rPr>
          <w:b/>
          <w:sz w:val="28"/>
          <w:szCs w:val="24"/>
        </w:rPr>
        <w:t xml:space="preserve"> per l’artigianato (</w:t>
      </w:r>
      <w:r w:rsidR="00C24CA0" w:rsidRPr="00C809FE">
        <w:rPr>
          <w:b/>
          <w:sz w:val="28"/>
          <w:szCs w:val="24"/>
        </w:rPr>
        <w:t>+2,0</w:t>
      </w:r>
      <w:r w:rsidR="00624116" w:rsidRPr="00C809FE">
        <w:rPr>
          <w:b/>
          <w:sz w:val="28"/>
          <w:szCs w:val="24"/>
        </w:rPr>
        <w:t>%)</w:t>
      </w:r>
      <w:r w:rsidR="00C24CA0" w:rsidRPr="008E4E61">
        <w:rPr>
          <w:sz w:val="28"/>
          <w:szCs w:val="24"/>
        </w:rPr>
        <w:t>, anche se l’intensità della crescita si riduce.</w:t>
      </w:r>
    </w:p>
    <w:p w:rsidR="0094077C" w:rsidRPr="00A96B0C" w:rsidRDefault="0094077C" w:rsidP="00803B8D">
      <w:pPr>
        <w:jc w:val="both"/>
        <w:rPr>
          <w:bCs/>
          <w:sz w:val="14"/>
          <w:szCs w:val="22"/>
          <w:highlight w:val="lightGray"/>
        </w:rPr>
      </w:pPr>
    </w:p>
    <w:p w:rsidR="00870B44" w:rsidRPr="00D72359" w:rsidRDefault="00D07858" w:rsidP="00803B8D">
      <w:pPr>
        <w:jc w:val="both"/>
        <w:rPr>
          <w:sz w:val="28"/>
          <w:szCs w:val="24"/>
        </w:rPr>
      </w:pPr>
      <w:r w:rsidRPr="00A96B0C">
        <w:rPr>
          <w:sz w:val="28"/>
          <w:szCs w:val="24"/>
        </w:rPr>
        <w:lastRenderedPageBreak/>
        <w:t>Per l’</w:t>
      </w:r>
      <w:r w:rsidRPr="00A96B0C">
        <w:rPr>
          <w:b/>
          <w:sz w:val="28"/>
          <w:szCs w:val="24"/>
        </w:rPr>
        <w:t>industria</w:t>
      </w:r>
      <w:r w:rsidRPr="00A96B0C">
        <w:rPr>
          <w:sz w:val="28"/>
          <w:szCs w:val="24"/>
        </w:rPr>
        <w:t xml:space="preserve"> l</w:t>
      </w:r>
      <w:r w:rsidR="00AB0275" w:rsidRPr="00A96B0C">
        <w:rPr>
          <w:sz w:val="28"/>
          <w:szCs w:val="24"/>
        </w:rPr>
        <w:t xml:space="preserve">’incremento </w:t>
      </w:r>
      <w:r w:rsidR="00E2050F" w:rsidRPr="00A96B0C">
        <w:rPr>
          <w:sz w:val="28"/>
          <w:szCs w:val="24"/>
          <w:u w:val="single"/>
        </w:rPr>
        <w:t>congiunturale</w:t>
      </w:r>
      <w:r w:rsidR="00E2050F" w:rsidRPr="00A96B0C">
        <w:rPr>
          <w:sz w:val="28"/>
          <w:szCs w:val="24"/>
        </w:rPr>
        <w:t xml:space="preserve"> </w:t>
      </w:r>
      <w:r w:rsidR="00AB0275" w:rsidRPr="00A96B0C">
        <w:rPr>
          <w:sz w:val="28"/>
          <w:szCs w:val="24"/>
        </w:rPr>
        <w:t>dell’indice della produzione è d</w:t>
      </w:r>
      <w:r w:rsidR="00C809FE">
        <w:rPr>
          <w:sz w:val="28"/>
          <w:szCs w:val="24"/>
        </w:rPr>
        <w:t xml:space="preserve">i </w:t>
      </w:r>
      <w:r w:rsidR="00AB0275" w:rsidRPr="00A96B0C">
        <w:rPr>
          <w:sz w:val="28"/>
          <w:szCs w:val="24"/>
        </w:rPr>
        <w:t>+</w:t>
      </w:r>
      <w:r w:rsidR="00A96B0C" w:rsidRPr="00A96B0C">
        <w:rPr>
          <w:sz w:val="28"/>
          <w:szCs w:val="24"/>
        </w:rPr>
        <w:t>1,8</w:t>
      </w:r>
      <w:r w:rsidR="00AB0275" w:rsidRPr="00A96B0C">
        <w:rPr>
          <w:sz w:val="28"/>
          <w:szCs w:val="24"/>
        </w:rPr>
        <w:t xml:space="preserve">% rispetto allo scorso trimestre </w:t>
      </w:r>
      <w:r w:rsidR="00265016" w:rsidRPr="00A96B0C">
        <w:rPr>
          <w:sz w:val="28"/>
          <w:szCs w:val="24"/>
        </w:rPr>
        <w:t>e</w:t>
      </w:r>
      <w:r w:rsidR="000A43D1" w:rsidRPr="00A96B0C">
        <w:rPr>
          <w:sz w:val="28"/>
          <w:szCs w:val="24"/>
        </w:rPr>
        <w:t xml:space="preserve"> per l’indice della produzione dell’</w:t>
      </w:r>
      <w:r w:rsidR="000A43D1" w:rsidRPr="00A96B0C">
        <w:rPr>
          <w:b/>
          <w:sz w:val="28"/>
          <w:szCs w:val="24"/>
        </w:rPr>
        <w:t>artigianato</w:t>
      </w:r>
      <w:r w:rsidR="000A43D1" w:rsidRPr="00A96B0C">
        <w:rPr>
          <w:sz w:val="28"/>
          <w:szCs w:val="24"/>
        </w:rPr>
        <w:t xml:space="preserve">, </w:t>
      </w:r>
      <w:r w:rsidR="00265016" w:rsidRPr="00A96B0C">
        <w:rPr>
          <w:sz w:val="28"/>
          <w:szCs w:val="24"/>
        </w:rPr>
        <w:t>del +</w:t>
      </w:r>
      <w:r w:rsidR="00725242" w:rsidRPr="00A96B0C">
        <w:rPr>
          <w:sz w:val="28"/>
          <w:szCs w:val="24"/>
        </w:rPr>
        <w:t>2</w:t>
      </w:r>
      <w:r w:rsidR="00265016" w:rsidRPr="00A96B0C">
        <w:rPr>
          <w:sz w:val="28"/>
          <w:szCs w:val="24"/>
        </w:rPr>
        <w:t>,</w:t>
      </w:r>
      <w:r w:rsidR="00A96B0C" w:rsidRPr="00A96B0C">
        <w:rPr>
          <w:sz w:val="28"/>
          <w:szCs w:val="24"/>
        </w:rPr>
        <w:t>0</w:t>
      </w:r>
      <w:r w:rsidR="00265016" w:rsidRPr="00A96B0C">
        <w:rPr>
          <w:sz w:val="28"/>
          <w:szCs w:val="24"/>
        </w:rPr>
        <w:t>%.</w:t>
      </w:r>
      <w:r w:rsidR="00C809FE">
        <w:rPr>
          <w:sz w:val="28"/>
          <w:szCs w:val="24"/>
        </w:rPr>
        <w:t xml:space="preserve"> </w:t>
      </w:r>
      <w:r w:rsidR="0094077C" w:rsidRPr="00A96B0C">
        <w:rPr>
          <w:sz w:val="28"/>
          <w:szCs w:val="24"/>
        </w:rPr>
        <w:t>Visto che q</w:t>
      </w:r>
      <w:r w:rsidR="00E2050F" w:rsidRPr="00A96B0C">
        <w:rPr>
          <w:sz w:val="28"/>
          <w:szCs w:val="24"/>
        </w:rPr>
        <w:t xml:space="preserve">uesto trimestre </w:t>
      </w:r>
      <w:r w:rsidR="00A96B0C" w:rsidRPr="00A96B0C">
        <w:rPr>
          <w:sz w:val="28"/>
          <w:szCs w:val="24"/>
        </w:rPr>
        <w:t xml:space="preserve">non </w:t>
      </w:r>
      <w:r w:rsidR="00E2050F" w:rsidRPr="00A96B0C">
        <w:rPr>
          <w:sz w:val="28"/>
          <w:szCs w:val="24"/>
        </w:rPr>
        <w:t xml:space="preserve">si confronta </w:t>
      </w:r>
      <w:r w:rsidR="00A96B0C" w:rsidRPr="00A96B0C">
        <w:rPr>
          <w:sz w:val="28"/>
          <w:szCs w:val="24"/>
        </w:rPr>
        <w:t>più</w:t>
      </w:r>
      <w:r w:rsidR="00265016" w:rsidRPr="00A96B0C">
        <w:rPr>
          <w:sz w:val="28"/>
          <w:szCs w:val="24"/>
        </w:rPr>
        <w:t xml:space="preserve"> </w:t>
      </w:r>
      <w:r w:rsidR="00E2050F" w:rsidRPr="00A96B0C">
        <w:rPr>
          <w:sz w:val="28"/>
          <w:szCs w:val="24"/>
        </w:rPr>
        <w:t xml:space="preserve">con </w:t>
      </w:r>
      <w:r w:rsidR="00B76FB9" w:rsidRPr="00A96B0C">
        <w:rPr>
          <w:sz w:val="28"/>
          <w:szCs w:val="24"/>
        </w:rPr>
        <w:t xml:space="preserve">i </w:t>
      </w:r>
      <w:r w:rsidR="00265016" w:rsidRPr="00A96B0C">
        <w:rPr>
          <w:sz w:val="28"/>
          <w:szCs w:val="24"/>
        </w:rPr>
        <w:t xml:space="preserve">valori </w:t>
      </w:r>
      <w:r w:rsidR="00E2050F" w:rsidRPr="00A96B0C">
        <w:rPr>
          <w:sz w:val="28"/>
          <w:szCs w:val="24"/>
        </w:rPr>
        <w:t>minim</w:t>
      </w:r>
      <w:r w:rsidR="00265016" w:rsidRPr="00A96B0C">
        <w:rPr>
          <w:sz w:val="28"/>
          <w:szCs w:val="24"/>
        </w:rPr>
        <w:t>i</w:t>
      </w:r>
      <w:r w:rsidR="00E2050F" w:rsidRPr="00A96B0C">
        <w:rPr>
          <w:sz w:val="28"/>
          <w:szCs w:val="24"/>
        </w:rPr>
        <w:t xml:space="preserve"> </w:t>
      </w:r>
      <w:r w:rsidR="00265016" w:rsidRPr="00A96B0C">
        <w:rPr>
          <w:sz w:val="28"/>
          <w:szCs w:val="24"/>
        </w:rPr>
        <w:t xml:space="preserve">anomali registrati </w:t>
      </w:r>
      <w:r w:rsidR="00B76FB9" w:rsidRPr="00A96B0C">
        <w:rPr>
          <w:sz w:val="28"/>
          <w:szCs w:val="24"/>
        </w:rPr>
        <w:t>nel 2020</w:t>
      </w:r>
      <w:r w:rsidR="00E2050F" w:rsidRPr="00A96B0C">
        <w:rPr>
          <w:sz w:val="28"/>
          <w:szCs w:val="24"/>
        </w:rPr>
        <w:t>, i</w:t>
      </w:r>
      <w:r w:rsidR="00883968" w:rsidRPr="00A96B0C">
        <w:rPr>
          <w:sz w:val="28"/>
          <w:szCs w:val="24"/>
        </w:rPr>
        <w:t xml:space="preserve">l dato </w:t>
      </w:r>
      <w:r w:rsidR="00002F91" w:rsidRPr="00A96B0C">
        <w:rPr>
          <w:sz w:val="28"/>
          <w:szCs w:val="24"/>
          <w:u w:val="single"/>
        </w:rPr>
        <w:t>tendenzial</w:t>
      </w:r>
      <w:r w:rsidR="00883968" w:rsidRPr="00A96B0C">
        <w:rPr>
          <w:sz w:val="28"/>
          <w:szCs w:val="24"/>
          <w:u w:val="single"/>
        </w:rPr>
        <w:t>e</w:t>
      </w:r>
      <w:r w:rsidR="00883968" w:rsidRPr="00A96B0C">
        <w:rPr>
          <w:sz w:val="28"/>
          <w:szCs w:val="24"/>
        </w:rPr>
        <w:t xml:space="preserve"> </w:t>
      </w:r>
      <w:r w:rsidR="00A96B0C" w:rsidRPr="00A96B0C">
        <w:rPr>
          <w:sz w:val="28"/>
          <w:szCs w:val="24"/>
        </w:rPr>
        <w:t xml:space="preserve">acquista significatività ed è quindi importante rilevare ancora incrementi </w:t>
      </w:r>
      <w:r w:rsidR="00E2050F" w:rsidRPr="00A96B0C">
        <w:rPr>
          <w:sz w:val="28"/>
          <w:szCs w:val="24"/>
        </w:rPr>
        <w:t>a due cifre</w:t>
      </w:r>
      <w:r w:rsidR="00A96B0C" w:rsidRPr="00A96B0C">
        <w:rPr>
          <w:sz w:val="28"/>
          <w:szCs w:val="24"/>
        </w:rPr>
        <w:t xml:space="preserve"> </w:t>
      </w:r>
      <w:r w:rsidR="00E2050F" w:rsidRPr="00A96B0C">
        <w:rPr>
          <w:sz w:val="28"/>
          <w:szCs w:val="24"/>
        </w:rPr>
        <w:t xml:space="preserve">per </w:t>
      </w:r>
      <w:r w:rsidR="00883968" w:rsidRPr="00A96B0C">
        <w:rPr>
          <w:sz w:val="28"/>
          <w:szCs w:val="24"/>
        </w:rPr>
        <w:t xml:space="preserve">la produzione </w:t>
      </w:r>
      <w:r w:rsidR="00002F91" w:rsidRPr="00A96B0C">
        <w:rPr>
          <w:sz w:val="28"/>
          <w:szCs w:val="24"/>
        </w:rPr>
        <w:t>industria</w:t>
      </w:r>
      <w:r w:rsidR="00E2050F" w:rsidRPr="00A96B0C">
        <w:rPr>
          <w:sz w:val="28"/>
          <w:szCs w:val="24"/>
        </w:rPr>
        <w:t>le</w:t>
      </w:r>
      <w:r w:rsidR="00002F91" w:rsidRPr="00A96B0C">
        <w:rPr>
          <w:sz w:val="28"/>
          <w:szCs w:val="24"/>
        </w:rPr>
        <w:t xml:space="preserve"> </w:t>
      </w:r>
      <w:r w:rsidR="00265016" w:rsidRPr="00A96B0C">
        <w:rPr>
          <w:sz w:val="28"/>
          <w:szCs w:val="24"/>
        </w:rPr>
        <w:t>(+1</w:t>
      </w:r>
      <w:r w:rsidR="00A96B0C" w:rsidRPr="00A96B0C">
        <w:rPr>
          <w:sz w:val="28"/>
          <w:szCs w:val="24"/>
        </w:rPr>
        <w:t>0</w:t>
      </w:r>
      <w:r w:rsidR="00265016" w:rsidRPr="00A96B0C">
        <w:rPr>
          <w:sz w:val="28"/>
          <w:szCs w:val="24"/>
        </w:rPr>
        <w:t>,</w:t>
      </w:r>
      <w:r w:rsidR="00A96B0C" w:rsidRPr="00A96B0C">
        <w:rPr>
          <w:sz w:val="28"/>
          <w:szCs w:val="24"/>
        </w:rPr>
        <w:t>7</w:t>
      </w:r>
      <w:r w:rsidR="00265016" w:rsidRPr="00A96B0C">
        <w:rPr>
          <w:sz w:val="28"/>
          <w:szCs w:val="24"/>
        </w:rPr>
        <w:t xml:space="preserve">%) </w:t>
      </w:r>
      <w:r w:rsidR="00A96B0C">
        <w:rPr>
          <w:sz w:val="28"/>
          <w:szCs w:val="24"/>
        </w:rPr>
        <w:t>e poco inferiori</w:t>
      </w:r>
      <w:r w:rsidR="00A96B0C" w:rsidRPr="00A96B0C">
        <w:rPr>
          <w:sz w:val="28"/>
          <w:szCs w:val="24"/>
        </w:rPr>
        <w:t xml:space="preserve"> </w:t>
      </w:r>
      <w:r w:rsidR="00265016" w:rsidRPr="00A96B0C">
        <w:rPr>
          <w:sz w:val="28"/>
          <w:szCs w:val="24"/>
        </w:rPr>
        <w:t>p</w:t>
      </w:r>
      <w:r w:rsidR="00883968" w:rsidRPr="00A96B0C">
        <w:rPr>
          <w:sz w:val="28"/>
          <w:szCs w:val="24"/>
        </w:rPr>
        <w:t xml:space="preserve">er </w:t>
      </w:r>
      <w:r w:rsidR="00725242" w:rsidRPr="00A96B0C">
        <w:rPr>
          <w:sz w:val="28"/>
          <w:szCs w:val="24"/>
        </w:rPr>
        <w:t xml:space="preserve">quella </w:t>
      </w:r>
      <w:r w:rsidR="00883968" w:rsidRPr="00A96B0C">
        <w:rPr>
          <w:sz w:val="28"/>
          <w:szCs w:val="24"/>
        </w:rPr>
        <w:t>artigiana</w:t>
      </w:r>
      <w:r w:rsidR="00265016" w:rsidRPr="00A96B0C">
        <w:rPr>
          <w:sz w:val="28"/>
          <w:szCs w:val="24"/>
        </w:rPr>
        <w:t xml:space="preserve"> (+</w:t>
      </w:r>
      <w:r w:rsidR="00A96B0C" w:rsidRPr="00A96B0C">
        <w:rPr>
          <w:sz w:val="28"/>
          <w:szCs w:val="24"/>
        </w:rPr>
        <w:t>9</w:t>
      </w:r>
      <w:r w:rsidR="00265016" w:rsidRPr="00D72359">
        <w:rPr>
          <w:sz w:val="28"/>
          <w:szCs w:val="24"/>
        </w:rPr>
        <w:t>,</w:t>
      </w:r>
      <w:r w:rsidR="00A96B0C" w:rsidRPr="00D72359">
        <w:rPr>
          <w:sz w:val="28"/>
          <w:szCs w:val="24"/>
        </w:rPr>
        <w:t>6</w:t>
      </w:r>
      <w:r w:rsidR="00265016" w:rsidRPr="00D72359">
        <w:rPr>
          <w:sz w:val="28"/>
          <w:szCs w:val="24"/>
        </w:rPr>
        <w:t>%)</w:t>
      </w:r>
      <w:r w:rsidR="00002F91" w:rsidRPr="00D72359">
        <w:rPr>
          <w:sz w:val="28"/>
          <w:szCs w:val="24"/>
        </w:rPr>
        <w:t>.</w:t>
      </w:r>
    </w:p>
    <w:p w:rsidR="0094077C" w:rsidRPr="00D72359" w:rsidRDefault="0094077C" w:rsidP="00803B8D">
      <w:pPr>
        <w:jc w:val="both"/>
        <w:rPr>
          <w:bCs/>
          <w:sz w:val="14"/>
          <w:szCs w:val="22"/>
        </w:rPr>
      </w:pPr>
    </w:p>
    <w:p w:rsidR="00C535E1" w:rsidRPr="00444F3C" w:rsidRDefault="00C535E1" w:rsidP="00C535E1">
      <w:pPr>
        <w:tabs>
          <w:tab w:val="left" w:pos="9639"/>
        </w:tabs>
        <w:jc w:val="both"/>
        <w:rPr>
          <w:bCs/>
          <w:sz w:val="28"/>
          <w:szCs w:val="22"/>
          <w:highlight w:val="lightGray"/>
        </w:rPr>
      </w:pPr>
      <w:r w:rsidRPr="00D72359">
        <w:rPr>
          <w:bCs/>
          <w:sz w:val="28"/>
          <w:szCs w:val="22"/>
        </w:rPr>
        <w:t xml:space="preserve">L’incremento della produzione si riflette sul fatturato, spinto anche dalla dinamica dei prezzi. Il </w:t>
      </w:r>
      <w:r w:rsidRPr="00D72359">
        <w:rPr>
          <w:b/>
          <w:bCs/>
          <w:sz w:val="28"/>
          <w:szCs w:val="22"/>
        </w:rPr>
        <w:t>fatturato a prezzi correnti</w:t>
      </w:r>
      <w:r w:rsidRPr="00D72359">
        <w:rPr>
          <w:bCs/>
          <w:sz w:val="28"/>
          <w:szCs w:val="22"/>
        </w:rPr>
        <w:t xml:space="preserve"> dell’</w:t>
      </w:r>
      <w:r w:rsidRPr="00D72359">
        <w:rPr>
          <w:b/>
          <w:bCs/>
          <w:sz w:val="28"/>
          <w:szCs w:val="22"/>
        </w:rPr>
        <w:t>industria</w:t>
      </w:r>
      <w:r w:rsidRPr="00D72359">
        <w:rPr>
          <w:bCs/>
          <w:sz w:val="28"/>
          <w:szCs w:val="22"/>
        </w:rPr>
        <w:t xml:space="preserve"> cresce </w:t>
      </w:r>
      <w:r w:rsidR="00870B44" w:rsidRPr="00D72359">
        <w:rPr>
          <w:bCs/>
          <w:sz w:val="28"/>
          <w:szCs w:val="22"/>
        </w:rPr>
        <w:t xml:space="preserve">infatti </w:t>
      </w:r>
      <w:r w:rsidRPr="00D72359">
        <w:rPr>
          <w:bCs/>
          <w:sz w:val="28"/>
          <w:szCs w:val="22"/>
        </w:rPr>
        <w:t>del 1,</w:t>
      </w:r>
      <w:r w:rsidR="00D72359" w:rsidRPr="00D72359">
        <w:rPr>
          <w:bCs/>
          <w:sz w:val="28"/>
          <w:szCs w:val="22"/>
        </w:rPr>
        <w:t>7</w:t>
      </w:r>
      <w:r w:rsidRPr="00D72359">
        <w:rPr>
          <w:bCs/>
          <w:sz w:val="28"/>
          <w:szCs w:val="22"/>
        </w:rPr>
        <w:t xml:space="preserve">% </w:t>
      </w:r>
      <w:r w:rsidR="00D72359" w:rsidRPr="00D72359">
        <w:rPr>
          <w:bCs/>
          <w:sz w:val="28"/>
          <w:szCs w:val="22"/>
        </w:rPr>
        <w:t xml:space="preserve">congiunturale e </w:t>
      </w:r>
      <w:r w:rsidRPr="00D72359">
        <w:rPr>
          <w:bCs/>
          <w:sz w:val="28"/>
          <w:szCs w:val="22"/>
        </w:rPr>
        <w:t xml:space="preserve">la dinamica </w:t>
      </w:r>
      <w:r w:rsidR="00D72359" w:rsidRPr="00444F3C">
        <w:rPr>
          <w:bCs/>
          <w:sz w:val="28"/>
          <w:szCs w:val="22"/>
        </w:rPr>
        <w:t>tendenziale</w:t>
      </w:r>
      <w:r w:rsidRPr="00444F3C">
        <w:rPr>
          <w:bCs/>
          <w:sz w:val="28"/>
          <w:szCs w:val="22"/>
        </w:rPr>
        <w:t xml:space="preserve"> resta vivace (+</w:t>
      </w:r>
      <w:r w:rsidR="00D72359" w:rsidRPr="00444F3C">
        <w:rPr>
          <w:bCs/>
          <w:sz w:val="28"/>
          <w:szCs w:val="22"/>
        </w:rPr>
        <w:t>19</w:t>
      </w:r>
      <w:r w:rsidRPr="00444F3C">
        <w:rPr>
          <w:bCs/>
          <w:sz w:val="28"/>
          <w:szCs w:val="22"/>
        </w:rPr>
        <w:t>,</w:t>
      </w:r>
      <w:r w:rsidR="00D72359" w:rsidRPr="00444F3C">
        <w:rPr>
          <w:bCs/>
          <w:sz w:val="28"/>
          <w:szCs w:val="22"/>
        </w:rPr>
        <w:t>1</w:t>
      </w:r>
      <w:r w:rsidRPr="00444F3C">
        <w:rPr>
          <w:bCs/>
          <w:sz w:val="28"/>
          <w:szCs w:val="22"/>
        </w:rPr>
        <w:t xml:space="preserve">%). Per le </w:t>
      </w:r>
      <w:r w:rsidRPr="00444F3C">
        <w:rPr>
          <w:b/>
          <w:bCs/>
          <w:sz w:val="28"/>
          <w:szCs w:val="22"/>
        </w:rPr>
        <w:t>imprese artigiane</w:t>
      </w:r>
      <w:r w:rsidRPr="00444F3C">
        <w:rPr>
          <w:bCs/>
          <w:sz w:val="28"/>
          <w:szCs w:val="22"/>
        </w:rPr>
        <w:t xml:space="preserve"> il fatturato </w:t>
      </w:r>
      <w:r w:rsidR="00444F3C" w:rsidRPr="00444F3C">
        <w:rPr>
          <w:bCs/>
          <w:sz w:val="28"/>
          <w:szCs w:val="22"/>
        </w:rPr>
        <w:t xml:space="preserve">cresce dell’1,9% rispetto al trimestre precedente e </w:t>
      </w:r>
      <w:r w:rsidRPr="00444F3C">
        <w:rPr>
          <w:bCs/>
          <w:sz w:val="28"/>
          <w:szCs w:val="22"/>
        </w:rPr>
        <w:t xml:space="preserve">anche in questo caso con un significativo incremento </w:t>
      </w:r>
      <w:r w:rsidR="00444F3C" w:rsidRPr="00444F3C">
        <w:rPr>
          <w:bCs/>
          <w:sz w:val="28"/>
          <w:szCs w:val="22"/>
        </w:rPr>
        <w:t>tendenziale</w:t>
      </w:r>
      <w:r w:rsidRPr="00444F3C">
        <w:rPr>
          <w:bCs/>
          <w:sz w:val="28"/>
          <w:szCs w:val="22"/>
        </w:rPr>
        <w:t xml:space="preserve"> (+</w:t>
      </w:r>
      <w:r w:rsidR="00444F3C" w:rsidRPr="00444F3C">
        <w:rPr>
          <w:bCs/>
          <w:sz w:val="28"/>
          <w:szCs w:val="22"/>
        </w:rPr>
        <w:t>12</w:t>
      </w:r>
      <w:r w:rsidRPr="00444F3C">
        <w:rPr>
          <w:bCs/>
          <w:sz w:val="28"/>
          <w:szCs w:val="22"/>
        </w:rPr>
        <w:t>,</w:t>
      </w:r>
      <w:r w:rsidR="00444F3C" w:rsidRPr="00444F3C">
        <w:rPr>
          <w:bCs/>
          <w:sz w:val="28"/>
          <w:szCs w:val="22"/>
        </w:rPr>
        <w:t>0</w:t>
      </w:r>
      <w:r w:rsidRPr="00444F3C">
        <w:rPr>
          <w:bCs/>
          <w:sz w:val="28"/>
          <w:szCs w:val="22"/>
        </w:rPr>
        <w:t>%).</w:t>
      </w:r>
    </w:p>
    <w:p w:rsidR="00C535E1" w:rsidRPr="00444F3C" w:rsidRDefault="00C535E1" w:rsidP="00803B8D">
      <w:pPr>
        <w:jc w:val="both"/>
        <w:rPr>
          <w:bCs/>
          <w:sz w:val="14"/>
          <w:szCs w:val="22"/>
          <w:highlight w:val="lightGray"/>
        </w:rPr>
      </w:pPr>
    </w:p>
    <w:p w:rsidR="00D52F2B" w:rsidRPr="00714802" w:rsidRDefault="00D52F2B" w:rsidP="00803B8D">
      <w:pPr>
        <w:jc w:val="both"/>
        <w:rPr>
          <w:bCs/>
          <w:sz w:val="28"/>
          <w:szCs w:val="22"/>
          <w:u w:val="single"/>
        </w:rPr>
      </w:pPr>
      <w:r w:rsidRPr="00714802">
        <w:rPr>
          <w:bCs/>
          <w:sz w:val="28"/>
          <w:szCs w:val="22"/>
        </w:rPr>
        <w:t xml:space="preserve">I </w:t>
      </w:r>
      <w:r w:rsidRPr="00714802">
        <w:rPr>
          <w:b/>
          <w:bCs/>
          <w:sz w:val="28"/>
          <w:szCs w:val="22"/>
        </w:rPr>
        <w:t>prezzi delle materie prime nell’industria</w:t>
      </w:r>
      <w:r w:rsidRPr="00714802">
        <w:rPr>
          <w:bCs/>
          <w:sz w:val="28"/>
          <w:szCs w:val="22"/>
        </w:rPr>
        <w:t xml:space="preserve"> crescono ancora del </w:t>
      </w:r>
      <w:r w:rsidR="00C809FE">
        <w:rPr>
          <w:bCs/>
          <w:sz w:val="28"/>
          <w:szCs w:val="22"/>
        </w:rPr>
        <w:t>+</w:t>
      </w:r>
      <w:r w:rsidRPr="00714802">
        <w:rPr>
          <w:bCs/>
          <w:sz w:val="28"/>
          <w:szCs w:val="22"/>
        </w:rPr>
        <w:t>1</w:t>
      </w:r>
      <w:r w:rsidR="004E721A" w:rsidRPr="00714802">
        <w:rPr>
          <w:bCs/>
          <w:sz w:val="28"/>
          <w:szCs w:val="22"/>
        </w:rPr>
        <w:t>5</w:t>
      </w:r>
      <w:r w:rsidRPr="00714802">
        <w:rPr>
          <w:bCs/>
          <w:sz w:val="28"/>
          <w:szCs w:val="22"/>
        </w:rPr>
        <w:t>,</w:t>
      </w:r>
      <w:r w:rsidR="004E721A" w:rsidRPr="00714802">
        <w:rPr>
          <w:bCs/>
          <w:sz w:val="28"/>
          <w:szCs w:val="22"/>
        </w:rPr>
        <w:t>9</w:t>
      </w:r>
      <w:r w:rsidRPr="00714802">
        <w:rPr>
          <w:bCs/>
          <w:sz w:val="28"/>
          <w:szCs w:val="22"/>
        </w:rPr>
        <w:t>% confermandosi il fattore critico su cui focalizzare l’attenzione</w:t>
      </w:r>
      <w:r w:rsidR="00714802" w:rsidRPr="00714802">
        <w:rPr>
          <w:bCs/>
          <w:sz w:val="28"/>
          <w:szCs w:val="22"/>
        </w:rPr>
        <w:t xml:space="preserve"> in quanto gli incrementi su base annua </w:t>
      </w:r>
      <w:r w:rsidR="00C809FE" w:rsidRPr="00714802">
        <w:rPr>
          <w:bCs/>
          <w:sz w:val="28"/>
          <w:szCs w:val="22"/>
        </w:rPr>
        <w:t>(+57,6%)</w:t>
      </w:r>
      <w:r w:rsidR="00C809FE">
        <w:rPr>
          <w:bCs/>
          <w:sz w:val="28"/>
          <w:szCs w:val="22"/>
        </w:rPr>
        <w:t xml:space="preserve"> </w:t>
      </w:r>
      <w:r w:rsidR="00714802" w:rsidRPr="00714802">
        <w:rPr>
          <w:bCs/>
          <w:sz w:val="28"/>
          <w:szCs w:val="22"/>
        </w:rPr>
        <w:t>stanno raggiungendo livelli preoccupanti.</w:t>
      </w:r>
      <w:r w:rsidRPr="00714802">
        <w:rPr>
          <w:bCs/>
          <w:sz w:val="28"/>
          <w:szCs w:val="22"/>
        </w:rPr>
        <w:t xml:space="preserve"> Le </w:t>
      </w:r>
      <w:r w:rsidRPr="00714802">
        <w:rPr>
          <w:b/>
          <w:bCs/>
          <w:sz w:val="28"/>
          <w:szCs w:val="22"/>
        </w:rPr>
        <w:t>imprese artigiane</w:t>
      </w:r>
      <w:r w:rsidRPr="00714802">
        <w:rPr>
          <w:bCs/>
          <w:sz w:val="28"/>
          <w:szCs w:val="22"/>
        </w:rPr>
        <w:t xml:space="preserve"> </w:t>
      </w:r>
      <w:r w:rsidR="00870B44" w:rsidRPr="00714802">
        <w:rPr>
          <w:bCs/>
          <w:sz w:val="28"/>
          <w:szCs w:val="22"/>
        </w:rPr>
        <w:t>segnalano</w:t>
      </w:r>
      <w:r w:rsidRPr="00714802">
        <w:rPr>
          <w:bCs/>
          <w:sz w:val="28"/>
          <w:szCs w:val="22"/>
        </w:rPr>
        <w:t xml:space="preserve"> incrementi ancora più consistenti</w:t>
      </w:r>
      <w:r w:rsidR="00714802" w:rsidRPr="00714802">
        <w:rPr>
          <w:bCs/>
          <w:sz w:val="28"/>
          <w:szCs w:val="22"/>
        </w:rPr>
        <w:t>:</w:t>
      </w:r>
      <w:r w:rsidRPr="00714802">
        <w:rPr>
          <w:bCs/>
          <w:sz w:val="28"/>
          <w:szCs w:val="22"/>
        </w:rPr>
        <w:t xml:space="preserve"> </w:t>
      </w:r>
      <w:r w:rsidR="00870B44" w:rsidRPr="00714802">
        <w:rPr>
          <w:bCs/>
          <w:sz w:val="28"/>
          <w:szCs w:val="22"/>
        </w:rPr>
        <w:t>+</w:t>
      </w:r>
      <w:r w:rsidR="00714802" w:rsidRPr="00714802">
        <w:rPr>
          <w:bCs/>
          <w:sz w:val="28"/>
          <w:szCs w:val="22"/>
        </w:rPr>
        <w:t>1</w:t>
      </w:r>
      <w:r w:rsidRPr="00714802">
        <w:rPr>
          <w:bCs/>
          <w:sz w:val="28"/>
          <w:szCs w:val="22"/>
        </w:rPr>
        <w:t>9</w:t>
      </w:r>
      <w:r w:rsidR="00714802" w:rsidRPr="00714802">
        <w:rPr>
          <w:bCs/>
          <w:sz w:val="28"/>
          <w:szCs w:val="22"/>
        </w:rPr>
        <w:t>,8</w:t>
      </w:r>
      <w:r w:rsidRPr="00714802">
        <w:rPr>
          <w:bCs/>
          <w:sz w:val="28"/>
          <w:szCs w:val="22"/>
        </w:rPr>
        <w:t>%</w:t>
      </w:r>
      <w:r w:rsidR="00714802" w:rsidRPr="00714802">
        <w:rPr>
          <w:bCs/>
          <w:sz w:val="28"/>
          <w:szCs w:val="22"/>
        </w:rPr>
        <w:t xml:space="preserve"> congiunturale e +76,8% tendenziale.</w:t>
      </w:r>
    </w:p>
    <w:p w:rsidR="00857A24" w:rsidRPr="00D61200" w:rsidRDefault="00857A24" w:rsidP="00803B8D">
      <w:pPr>
        <w:jc w:val="both"/>
        <w:rPr>
          <w:bCs/>
          <w:sz w:val="14"/>
          <w:szCs w:val="14"/>
        </w:rPr>
      </w:pPr>
    </w:p>
    <w:p w:rsidR="00857A24" w:rsidRPr="00D61200" w:rsidRDefault="00857A24" w:rsidP="00803B8D">
      <w:pPr>
        <w:jc w:val="both"/>
        <w:rPr>
          <w:bCs/>
          <w:sz w:val="28"/>
          <w:szCs w:val="22"/>
          <w:u w:val="single"/>
        </w:rPr>
      </w:pPr>
      <w:r w:rsidRPr="00D61200">
        <w:rPr>
          <w:bCs/>
          <w:sz w:val="28"/>
          <w:szCs w:val="22"/>
        </w:rPr>
        <w:t xml:space="preserve">I prezzi dei </w:t>
      </w:r>
      <w:r w:rsidRPr="00D61200">
        <w:rPr>
          <w:b/>
          <w:bCs/>
          <w:sz w:val="28"/>
          <w:szCs w:val="22"/>
        </w:rPr>
        <w:t>prodotti finiti</w:t>
      </w:r>
      <w:r w:rsidRPr="00D61200">
        <w:rPr>
          <w:bCs/>
          <w:sz w:val="28"/>
          <w:szCs w:val="22"/>
        </w:rPr>
        <w:t xml:space="preserve"> mostrano segnali di adeguamento al rialzo. </w:t>
      </w:r>
      <w:r w:rsidR="00870B44" w:rsidRPr="00D61200">
        <w:rPr>
          <w:bCs/>
          <w:sz w:val="28"/>
          <w:szCs w:val="22"/>
        </w:rPr>
        <w:t>L</w:t>
      </w:r>
      <w:r w:rsidRPr="00D61200">
        <w:rPr>
          <w:bCs/>
          <w:sz w:val="28"/>
          <w:szCs w:val="22"/>
        </w:rPr>
        <w:t xml:space="preserve">’incremento congiunturale supera </w:t>
      </w:r>
      <w:r w:rsidR="007C11A0" w:rsidRPr="00D61200">
        <w:rPr>
          <w:bCs/>
          <w:sz w:val="28"/>
          <w:szCs w:val="22"/>
        </w:rPr>
        <w:t>l’8%</w:t>
      </w:r>
      <w:r w:rsidR="00E22AEA" w:rsidRPr="00D61200">
        <w:rPr>
          <w:bCs/>
          <w:sz w:val="28"/>
          <w:szCs w:val="22"/>
        </w:rPr>
        <w:t xml:space="preserve"> </w:t>
      </w:r>
      <w:r w:rsidR="007C11A0" w:rsidRPr="00D61200">
        <w:rPr>
          <w:bCs/>
          <w:sz w:val="28"/>
          <w:szCs w:val="22"/>
        </w:rPr>
        <w:t xml:space="preserve">per l’industria </w:t>
      </w:r>
      <w:r w:rsidRPr="00D61200">
        <w:rPr>
          <w:bCs/>
          <w:sz w:val="28"/>
          <w:szCs w:val="22"/>
        </w:rPr>
        <w:t xml:space="preserve">e </w:t>
      </w:r>
      <w:r w:rsidR="00D61200" w:rsidRPr="00D61200">
        <w:rPr>
          <w:bCs/>
          <w:sz w:val="28"/>
          <w:szCs w:val="22"/>
        </w:rPr>
        <w:t>raggiunge i</w:t>
      </w:r>
      <w:r w:rsidRPr="00D61200">
        <w:rPr>
          <w:bCs/>
          <w:sz w:val="28"/>
          <w:szCs w:val="22"/>
        </w:rPr>
        <w:t xml:space="preserve">l </w:t>
      </w:r>
      <w:r w:rsidR="00D61200" w:rsidRPr="00D61200">
        <w:rPr>
          <w:bCs/>
          <w:sz w:val="28"/>
          <w:szCs w:val="22"/>
        </w:rPr>
        <w:t>10</w:t>
      </w:r>
      <w:r w:rsidRPr="00D61200">
        <w:rPr>
          <w:bCs/>
          <w:sz w:val="28"/>
          <w:szCs w:val="22"/>
        </w:rPr>
        <w:t>% per l’artigianato</w:t>
      </w:r>
      <w:r w:rsidR="00D61200" w:rsidRPr="00D61200">
        <w:rPr>
          <w:bCs/>
          <w:sz w:val="28"/>
          <w:szCs w:val="22"/>
        </w:rPr>
        <w:t xml:space="preserve">. </w:t>
      </w:r>
      <w:r w:rsidR="00D61200">
        <w:rPr>
          <w:bCs/>
          <w:sz w:val="28"/>
          <w:szCs w:val="22"/>
        </w:rPr>
        <w:t>Anche in questo caso gli aumenti su base annua sono molto più consistenti: +26,0% l’industria e +32,2% l’artigianato.</w:t>
      </w:r>
    </w:p>
    <w:p w:rsidR="00D52F2B" w:rsidRPr="00D61200" w:rsidRDefault="00D52F2B" w:rsidP="00803B8D">
      <w:pPr>
        <w:jc w:val="both"/>
        <w:rPr>
          <w:bCs/>
          <w:sz w:val="14"/>
          <w:szCs w:val="22"/>
        </w:rPr>
      </w:pPr>
    </w:p>
    <w:p w:rsidR="00C809FE" w:rsidRDefault="000A7BAE" w:rsidP="00803B8D">
      <w:pPr>
        <w:jc w:val="both"/>
        <w:rPr>
          <w:bCs/>
          <w:sz w:val="28"/>
          <w:szCs w:val="22"/>
        </w:rPr>
      </w:pPr>
      <w:r w:rsidRPr="00AF0A2D">
        <w:rPr>
          <w:bCs/>
          <w:sz w:val="28"/>
          <w:szCs w:val="22"/>
        </w:rPr>
        <w:t xml:space="preserve">Gli </w:t>
      </w:r>
      <w:r w:rsidRPr="00AF0A2D">
        <w:rPr>
          <w:b/>
          <w:bCs/>
          <w:sz w:val="28"/>
          <w:szCs w:val="22"/>
        </w:rPr>
        <w:t>ordinativi dell’industria</w:t>
      </w:r>
      <w:r w:rsidRPr="00AF0A2D">
        <w:rPr>
          <w:bCs/>
          <w:sz w:val="28"/>
          <w:szCs w:val="22"/>
        </w:rPr>
        <w:t xml:space="preserve"> </w:t>
      </w:r>
      <w:r w:rsidR="00AF0A2D" w:rsidRPr="00AF0A2D">
        <w:rPr>
          <w:bCs/>
          <w:sz w:val="28"/>
          <w:szCs w:val="22"/>
        </w:rPr>
        <w:t>registrano un rallentamento della crescita per il mercato interno rispetto ai trimestri precedenti (+2,7% congiunturale contro il +4,6% di fine 2021)</w:t>
      </w:r>
      <w:r w:rsidRPr="00AF0A2D">
        <w:rPr>
          <w:bCs/>
          <w:sz w:val="28"/>
          <w:szCs w:val="22"/>
        </w:rPr>
        <w:t xml:space="preserve">. </w:t>
      </w:r>
      <w:r w:rsidR="00AF0A2D" w:rsidRPr="00AF0A2D">
        <w:rPr>
          <w:bCs/>
          <w:sz w:val="28"/>
          <w:szCs w:val="22"/>
        </w:rPr>
        <w:t>Resta, invece, costante l’incremento degli ordini ester</w:t>
      </w:r>
      <w:r w:rsidR="00AF0A2D" w:rsidRPr="000B55A3">
        <w:rPr>
          <w:bCs/>
          <w:sz w:val="28"/>
          <w:szCs w:val="22"/>
        </w:rPr>
        <w:t>i (+4,0%).</w:t>
      </w:r>
      <w:bookmarkStart w:id="0" w:name="_GoBack"/>
      <w:bookmarkEnd w:id="0"/>
    </w:p>
    <w:p w:rsidR="000A7BAE" w:rsidRPr="00F66152" w:rsidRDefault="000A7BAE" w:rsidP="00803B8D">
      <w:pPr>
        <w:jc w:val="both"/>
        <w:rPr>
          <w:bCs/>
          <w:sz w:val="28"/>
          <w:szCs w:val="22"/>
        </w:rPr>
      </w:pPr>
      <w:r w:rsidRPr="000B55A3">
        <w:rPr>
          <w:bCs/>
          <w:sz w:val="28"/>
          <w:szCs w:val="22"/>
        </w:rPr>
        <w:t xml:space="preserve">Risultati più contenuti per </w:t>
      </w:r>
      <w:r w:rsidRPr="000B55A3">
        <w:rPr>
          <w:b/>
          <w:bCs/>
          <w:sz w:val="28"/>
          <w:szCs w:val="22"/>
        </w:rPr>
        <w:t>l’artigianato</w:t>
      </w:r>
      <w:r w:rsidRPr="000B55A3">
        <w:rPr>
          <w:bCs/>
          <w:sz w:val="28"/>
          <w:szCs w:val="22"/>
        </w:rPr>
        <w:t xml:space="preserve"> </w:t>
      </w:r>
      <w:r w:rsidR="000B55A3" w:rsidRPr="000B55A3">
        <w:rPr>
          <w:bCs/>
          <w:sz w:val="28"/>
          <w:szCs w:val="22"/>
        </w:rPr>
        <w:t xml:space="preserve">che vede ordini in crescita dell’1,2% sia per il mercato </w:t>
      </w:r>
      <w:r w:rsidR="009C3D1B">
        <w:rPr>
          <w:bCs/>
          <w:sz w:val="28"/>
          <w:szCs w:val="22"/>
        </w:rPr>
        <w:t>interno</w:t>
      </w:r>
      <w:r w:rsidR="000B55A3" w:rsidRPr="00F66152">
        <w:rPr>
          <w:bCs/>
          <w:sz w:val="28"/>
          <w:szCs w:val="22"/>
        </w:rPr>
        <w:t xml:space="preserve"> sia per quello estero.</w:t>
      </w:r>
      <w:r w:rsidR="00320EE1" w:rsidRPr="00F66152">
        <w:rPr>
          <w:bCs/>
          <w:sz w:val="28"/>
          <w:szCs w:val="22"/>
        </w:rPr>
        <w:t xml:space="preserve"> </w:t>
      </w:r>
      <w:r w:rsidR="003A5AF4" w:rsidRPr="00F66152">
        <w:rPr>
          <w:bCs/>
          <w:sz w:val="28"/>
          <w:szCs w:val="22"/>
        </w:rPr>
        <w:t>L’importanza dei mercati esteri per l’industria lombarda è rimarcata da una quota del fatturato estero sul totale stabile ai massimi</w:t>
      </w:r>
      <w:r w:rsidR="003224DA" w:rsidRPr="00F66152">
        <w:rPr>
          <w:bCs/>
          <w:sz w:val="28"/>
          <w:szCs w:val="22"/>
        </w:rPr>
        <w:t xml:space="preserve"> </w:t>
      </w:r>
      <w:r w:rsidR="00F66152" w:rsidRPr="00F66152">
        <w:rPr>
          <w:bCs/>
          <w:sz w:val="28"/>
          <w:szCs w:val="22"/>
        </w:rPr>
        <w:t>(38,9%)</w:t>
      </w:r>
      <w:r w:rsidR="009C3D1B">
        <w:rPr>
          <w:bCs/>
          <w:sz w:val="28"/>
          <w:szCs w:val="22"/>
        </w:rPr>
        <w:t xml:space="preserve"> ma ch</w:t>
      </w:r>
      <w:r w:rsidRPr="00F66152">
        <w:rPr>
          <w:bCs/>
          <w:sz w:val="28"/>
          <w:szCs w:val="22"/>
        </w:rPr>
        <w:t>e resta poco rilevante</w:t>
      </w:r>
      <w:r w:rsidR="003224DA" w:rsidRPr="00F66152">
        <w:rPr>
          <w:bCs/>
          <w:sz w:val="28"/>
          <w:szCs w:val="22"/>
        </w:rPr>
        <w:t xml:space="preserve"> per le imprese artigiane</w:t>
      </w:r>
      <w:r w:rsidR="00F66152" w:rsidRPr="00F66152">
        <w:rPr>
          <w:bCs/>
          <w:sz w:val="28"/>
          <w:szCs w:val="22"/>
        </w:rPr>
        <w:t xml:space="preserve"> con </w:t>
      </w:r>
      <w:r w:rsidR="009C3D1B">
        <w:rPr>
          <w:bCs/>
          <w:sz w:val="28"/>
          <w:szCs w:val="22"/>
        </w:rPr>
        <w:t xml:space="preserve">anche </w:t>
      </w:r>
      <w:r w:rsidR="00F66152" w:rsidRPr="00F66152">
        <w:rPr>
          <w:bCs/>
          <w:sz w:val="28"/>
          <w:szCs w:val="22"/>
        </w:rPr>
        <w:t>una piccola flessione in questo trimestre</w:t>
      </w:r>
      <w:r w:rsidR="009C3D1B">
        <w:rPr>
          <w:bCs/>
          <w:sz w:val="28"/>
          <w:szCs w:val="22"/>
        </w:rPr>
        <w:t xml:space="preserve"> </w:t>
      </w:r>
      <w:r w:rsidR="00F66152" w:rsidRPr="00F66152">
        <w:rPr>
          <w:bCs/>
          <w:sz w:val="28"/>
          <w:szCs w:val="22"/>
        </w:rPr>
        <w:t>(6,9%)</w:t>
      </w:r>
      <w:r w:rsidRPr="00F66152">
        <w:rPr>
          <w:bCs/>
          <w:sz w:val="28"/>
          <w:szCs w:val="22"/>
        </w:rPr>
        <w:t>.</w:t>
      </w:r>
    </w:p>
    <w:p w:rsidR="00C535E1" w:rsidRPr="00F66152" w:rsidRDefault="00C535E1" w:rsidP="00803B8D">
      <w:pPr>
        <w:jc w:val="both"/>
        <w:rPr>
          <w:bCs/>
          <w:sz w:val="14"/>
          <w:szCs w:val="22"/>
        </w:rPr>
      </w:pPr>
    </w:p>
    <w:p w:rsidR="00721304" w:rsidRPr="00EA6F12" w:rsidRDefault="00721304" w:rsidP="00721304">
      <w:pPr>
        <w:jc w:val="both"/>
        <w:rPr>
          <w:bCs/>
          <w:sz w:val="28"/>
          <w:szCs w:val="22"/>
        </w:rPr>
      </w:pPr>
      <w:r w:rsidRPr="00D727C2">
        <w:rPr>
          <w:b/>
          <w:bCs/>
          <w:sz w:val="28"/>
          <w:szCs w:val="22"/>
        </w:rPr>
        <w:t>L’occupazione per l’industria</w:t>
      </w:r>
      <w:r w:rsidR="004A0667" w:rsidRPr="00D727C2">
        <w:rPr>
          <w:b/>
          <w:bCs/>
          <w:sz w:val="28"/>
          <w:szCs w:val="22"/>
        </w:rPr>
        <w:t xml:space="preserve"> e l’artigianato</w:t>
      </w:r>
      <w:r w:rsidRPr="00D727C2">
        <w:rPr>
          <w:bCs/>
          <w:sz w:val="28"/>
          <w:szCs w:val="22"/>
        </w:rPr>
        <w:t xml:space="preserve"> presenta sald</w:t>
      </w:r>
      <w:r w:rsidR="004A0667" w:rsidRPr="00D727C2">
        <w:rPr>
          <w:bCs/>
          <w:sz w:val="28"/>
          <w:szCs w:val="22"/>
        </w:rPr>
        <w:t>i</w:t>
      </w:r>
      <w:r w:rsidRPr="00D727C2">
        <w:rPr>
          <w:bCs/>
          <w:sz w:val="28"/>
          <w:szCs w:val="22"/>
        </w:rPr>
        <w:t xml:space="preserve"> positiv</w:t>
      </w:r>
      <w:r w:rsidR="004A0667" w:rsidRPr="00D727C2">
        <w:rPr>
          <w:bCs/>
          <w:sz w:val="28"/>
          <w:szCs w:val="22"/>
        </w:rPr>
        <w:t>i</w:t>
      </w:r>
      <w:r w:rsidRPr="00D727C2">
        <w:rPr>
          <w:bCs/>
          <w:sz w:val="28"/>
          <w:szCs w:val="22"/>
        </w:rPr>
        <w:t xml:space="preserve"> (+0,</w:t>
      </w:r>
      <w:r w:rsidR="00924DED" w:rsidRPr="00D727C2">
        <w:rPr>
          <w:bCs/>
          <w:sz w:val="28"/>
          <w:szCs w:val="22"/>
        </w:rPr>
        <w:t>7</w:t>
      </w:r>
      <w:r w:rsidRPr="00D727C2">
        <w:rPr>
          <w:bCs/>
          <w:sz w:val="28"/>
          <w:szCs w:val="22"/>
        </w:rPr>
        <w:t>%</w:t>
      </w:r>
      <w:r w:rsidR="00924DED" w:rsidRPr="00D727C2">
        <w:rPr>
          <w:bCs/>
          <w:sz w:val="28"/>
          <w:szCs w:val="22"/>
        </w:rPr>
        <w:t xml:space="preserve"> e +0,4% rispettivamente</w:t>
      </w:r>
      <w:r w:rsidRPr="00D727C2">
        <w:rPr>
          <w:bCs/>
          <w:sz w:val="28"/>
          <w:szCs w:val="22"/>
        </w:rPr>
        <w:t xml:space="preserve">) </w:t>
      </w:r>
      <w:r w:rsidR="004A0667" w:rsidRPr="00D727C2">
        <w:rPr>
          <w:bCs/>
          <w:sz w:val="28"/>
          <w:szCs w:val="22"/>
        </w:rPr>
        <w:t>con sensibile riduzione de</w:t>
      </w:r>
      <w:r w:rsidRPr="00D727C2">
        <w:rPr>
          <w:bCs/>
          <w:sz w:val="28"/>
          <w:szCs w:val="22"/>
        </w:rPr>
        <w:t>l ricorso alla CIG</w:t>
      </w:r>
      <w:r w:rsidR="004A0667" w:rsidRPr="00D727C2">
        <w:rPr>
          <w:bCs/>
          <w:sz w:val="28"/>
          <w:szCs w:val="22"/>
        </w:rPr>
        <w:t>.</w:t>
      </w:r>
      <w:r w:rsidRPr="00D727C2">
        <w:rPr>
          <w:bCs/>
          <w:sz w:val="28"/>
          <w:szCs w:val="22"/>
        </w:rPr>
        <w:t xml:space="preserve"> </w:t>
      </w:r>
      <w:r w:rsidR="004A0667" w:rsidRPr="00D727C2">
        <w:rPr>
          <w:bCs/>
          <w:sz w:val="28"/>
          <w:szCs w:val="22"/>
        </w:rPr>
        <w:t>L</w:t>
      </w:r>
      <w:r w:rsidRPr="00D727C2">
        <w:rPr>
          <w:bCs/>
          <w:sz w:val="28"/>
          <w:szCs w:val="22"/>
        </w:rPr>
        <w:t xml:space="preserve">a quota di aziende che dichiara di aver utilizzato </w:t>
      </w:r>
      <w:r w:rsidRPr="00EA6F12">
        <w:rPr>
          <w:bCs/>
          <w:sz w:val="28"/>
          <w:szCs w:val="22"/>
        </w:rPr>
        <w:lastRenderedPageBreak/>
        <w:t xml:space="preserve">ore di cassa integrazione scende al </w:t>
      </w:r>
      <w:r w:rsidR="00D727C2" w:rsidRPr="00EA6F12">
        <w:rPr>
          <w:bCs/>
          <w:sz w:val="28"/>
          <w:szCs w:val="22"/>
        </w:rPr>
        <w:t>6,1</w:t>
      </w:r>
      <w:r w:rsidRPr="00EA6F12">
        <w:rPr>
          <w:bCs/>
          <w:sz w:val="28"/>
          <w:szCs w:val="22"/>
        </w:rPr>
        <w:t>%</w:t>
      </w:r>
      <w:r w:rsidR="004A0667" w:rsidRPr="00EA6F12">
        <w:rPr>
          <w:bCs/>
          <w:sz w:val="28"/>
          <w:szCs w:val="22"/>
        </w:rPr>
        <w:t xml:space="preserve"> per l’industria e al </w:t>
      </w:r>
      <w:r w:rsidR="00D727C2" w:rsidRPr="00EA6F12">
        <w:rPr>
          <w:bCs/>
          <w:sz w:val="28"/>
          <w:szCs w:val="22"/>
        </w:rPr>
        <w:t>3,0</w:t>
      </w:r>
      <w:r w:rsidR="004A0667" w:rsidRPr="00EA6F12">
        <w:rPr>
          <w:bCs/>
          <w:sz w:val="28"/>
          <w:szCs w:val="22"/>
        </w:rPr>
        <w:t>% per l’artigianato. Q</w:t>
      </w:r>
      <w:r w:rsidRPr="00EA6F12">
        <w:rPr>
          <w:bCs/>
          <w:sz w:val="28"/>
          <w:szCs w:val="22"/>
        </w:rPr>
        <w:t xml:space="preserve">uota </w:t>
      </w:r>
      <w:r w:rsidR="004A0667" w:rsidRPr="00EA6F12">
        <w:rPr>
          <w:bCs/>
          <w:sz w:val="28"/>
          <w:szCs w:val="22"/>
        </w:rPr>
        <w:t xml:space="preserve">CIG </w:t>
      </w:r>
      <w:r w:rsidR="00C809FE">
        <w:rPr>
          <w:bCs/>
          <w:sz w:val="28"/>
          <w:szCs w:val="22"/>
        </w:rPr>
        <w:t xml:space="preserve">utilizzate </w:t>
      </w:r>
      <w:r w:rsidRPr="00EA6F12">
        <w:rPr>
          <w:bCs/>
          <w:sz w:val="28"/>
          <w:szCs w:val="22"/>
        </w:rPr>
        <w:t xml:space="preserve">sul monte ore </w:t>
      </w:r>
      <w:r w:rsidR="00EA6F12" w:rsidRPr="00EA6F12">
        <w:rPr>
          <w:bCs/>
          <w:sz w:val="28"/>
          <w:szCs w:val="22"/>
        </w:rPr>
        <w:t xml:space="preserve">ai minimi storici: </w:t>
      </w:r>
      <w:r w:rsidRPr="00EA6F12">
        <w:rPr>
          <w:bCs/>
          <w:sz w:val="28"/>
          <w:szCs w:val="22"/>
        </w:rPr>
        <w:t>0,</w:t>
      </w:r>
      <w:r w:rsidR="00EA6F12" w:rsidRPr="00EA6F12">
        <w:rPr>
          <w:bCs/>
          <w:sz w:val="28"/>
          <w:szCs w:val="22"/>
        </w:rPr>
        <w:t>5</w:t>
      </w:r>
      <w:r w:rsidRPr="00EA6F12">
        <w:rPr>
          <w:bCs/>
          <w:sz w:val="28"/>
          <w:szCs w:val="22"/>
        </w:rPr>
        <w:t>%</w:t>
      </w:r>
      <w:r w:rsidR="004A0667" w:rsidRPr="00EA6F12">
        <w:rPr>
          <w:bCs/>
          <w:sz w:val="28"/>
          <w:szCs w:val="22"/>
        </w:rPr>
        <w:t xml:space="preserve"> </w:t>
      </w:r>
      <w:r w:rsidR="00EA6F12" w:rsidRPr="00EA6F12">
        <w:rPr>
          <w:bCs/>
          <w:sz w:val="28"/>
          <w:szCs w:val="22"/>
        </w:rPr>
        <w:t>l’industria e 0,3% l’artigianato</w:t>
      </w:r>
      <w:r w:rsidRPr="00EA6F12">
        <w:rPr>
          <w:bCs/>
          <w:sz w:val="28"/>
          <w:szCs w:val="22"/>
        </w:rPr>
        <w:t>.</w:t>
      </w:r>
    </w:p>
    <w:p w:rsidR="00721304" w:rsidRPr="00EA6F12" w:rsidRDefault="00721304" w:rsidP="00721304">
      <w:pPr>
        <w:jc w:val="both"/>
        <w:rPr>
          <w:bCs/>
          <w:sz w:val="14"/>
          <w:szCs w:val="22"/>
          <w:highlight w:val="lightGray"/>
        </w:rPr>
      </w:pPr>
    </w:p>
    <w:p w:rsidR="00AB0275" w:rsidRPr="008C7E6F" w:rsidRDefault="008C7E6F" w:rsidP="00803B8D">
      <w:pPr>
        <w:jc w:val="both"/>
        <w:rPr>
          <w:bCs/>
          <w:sz w:val="28"/>
          <w:szCs w:val="24"/>
        </w:rPr>
      </w:pPr>
      <w:r w:rsidRPr="008C7E6F">
        <w:rPr>
          <w:sz w:val="28"/>
          <w:szCs w:val="24"/>
        </w:rPr>
        <w:t xml:space="preserve">Gli imprenditori industriali sono più cauti sulle </w:t>
      </w:r>
      <w:r w:rsidR="00CF4992" w:rsidRPr="00C809FE">
        <w:rPr>
          <w:b/>
          <w:sz w:val="28"/>
          <w:szCs w:val="24"/>
        </w:rPr>
        <w:t>aspettative</w:t>
      </w:r>
      <w:r w:rsidR="00EA38C8" w:rsidRPr="00C809FE">
        <w:rPr>
          <w:b/>
          <w:sz w:val="28"/>
          <w:szCs w:val="24"/>
        </w:rPr>
        <w:t xml:space="preserve"> </w:t>
      </w:r>
      <w:r w:rsidRPr="00C809FE">
        <w:rPr>
          <w:b/>
          <w:sz w:val="28"/>
          <w:szCs w:val="24"/>
        </w:rPr>
        <w:t>per il prossimo trimestre</w:t>
      </w:r>
      <w:r w:rsidRPr="008C7E6F">
        <w:rPr>
          <w:sz w:val="28"/>
          <w:szCs w:val="24"/>
        </w:rPr>
        <w:t xml:space="preserve">. Si </w:t>
      </w:r>
      <w:r w:rsidR="00CF4992" w:rsidRPr="008C7E6F">
        <w:rPr>
          <w:sz w:val="28"/>
          <w:szCs w:val="24"/>
        </w:rPr>
        <w:t xml:space="preserve">conferma un </w:t>
      </w:r>
      <w:r w:rsidR="00EA38C8" w:rsidRPr="008C7E6F">
        <w:rPr>
          <w:sz w:val="28"/>
          <w:szCs w:val="24"/>
        </w:rPr>
        <w:t>quadro complessivamente positivo</w:t>
      </w:r>
      <w:r w:rsidR="00882D69" w:rsidRPr="008C7E6F">
        <w:rPr>
          <w:sz w:val="28"/>
          <w:szCs w:val="24"/>
        </w:rPr>
        <w:t>, ma i</w:t>
      </w:r>
      <w:r w:rsidRPr="008C7E6F">
        <w:rPr>
          <w:sz w:val="28"/>
          <w:szCs w:val="24"/>
        </w:rPr>
        <w:t xml:space="preserve"> saldi tra aspettative di crescita e diminuzione si riducono per tutte le variabili con quote cospicue di imprese che non prevendono variazioni nei livelli. Tra gli artigiani, invece, si fa già strada il segno negativo, più intenso per produzione, fatturato e ordini interni. </w:t>
      </w:r>
      <w:r w:rsidR="0094739E">
        <w:rPr>
          <w:sz w:val="28"/>
          <w:szCs w:val="24"/>
        </w:rPr>
        <w:t>P</w:t>
      </w:r>
      <w:r w:rsidR="0094739E" w:rsidRPr="008C7E6F">
        <w:rPr>
          <w:sz w:val="28"/>
          <w:szCs w:val="24"/>
        </w:rPr>
        <w:t>er domanda estera e occupazione</w:t>
      </w:r>
      <w:r w:rsidR="0094739E">
        <w:rPr>
          <w:sz w:val="28"/>
          <w:szCs w:val="24"/>
        </w:rPr>
        <w:t xml:space="preserve"> le imprese non vedono grandi cambiamenti all’orizzonte.</w:t>
      </w:r>
    </w:p>
    <w:p w:rsidR="00CA24BF" w:rsidRPr="008C7E6F" w:rsidRDefault="00CA24BF" w:rsidP="00803B8D">
      <w:pPr>
        <w:jc w:val="both"/>
        <w:rPr>
          <w:bCs/>
          <w:sz w:val="14"/>
          <w:szCs w:val="14"/>
          <w:highlight w:val="lightGray"/>
        </w:rPr>
      </w:pPr>
    </w:p>
    <w:p w:rsidR="00CA24BF" w:rsidRPr="008C7E6F" w:rsidRDefault="00803B8D" w:rsidP="00803B8D">
      <w:pPr>
        <w:jc w:val="both"/>
        <w:rPr>
          <w:sz w:val="28"/>
          <w:szCs w:val="24"/>
          <w:u w:val="single"/>
        </w:rPr>
      </w:pPr>
      <w:r w:rsidRPr="008C7E6F">
        <w:rPr>
          <w:sz w:val="28"/>
          <w:szCs w:val="24"/>
          <w:u w:val="single"/>
        </w:rPr>
        <w:t>GLI</w:t>
      </w:r>
      <w:r w:rsidR="00CA24BF" w:rsidRPr="008C7E6F">
        <w:rPr>
          <w:sz w:val="28"/>
          <w:szCs w:val="24"/>
          <w:u w:val="single"/>
        </w:rPr>
        <w:t xml:space="preserve"> ANDAMENTI SETTORIALI</w:t>
      </w:r>
    </w:p>
    <w:p w:rsidR="008214D2" w:rsidRDefault="008C7E6F" w:rsidP="00803B8D">
      <w:pPr>
        <w:ind w:right="-143"/>
        <w:jc w:val="both"/>
        <w:rPr>
          <w:sz w:val="28"/>
          <w:szCs w:val="24"/>
        </w:rPr>
      </w:pPr>
      <w:r w:rsidRPr="000F76BF">
        <w:rPr>
          <w:sz w:val="28"/>
          <w:szCs w:val="24"/>
        </w:rPr>
        <w:t xml:space="preserve">La maggior parte dei settori </w:t>
      </w:r>
      <w:r w:rsidR="00732DE4" w:rsidRPr="000F76BF">
        <w:rPr>
          <w:b/>
          <w:sz w:val="28"/>
          <w:szCs w:val="24"/>
        </w:rPr>
        <w:t>industriali</w:t>
      </w:r>
      <w:r w:rsidRPr="000F76BF">
        <w:rPr>
          <w:sz w:val="28"/>
          <w:szCs w:val="24"/>
        </w:rPr>
        <w:t xml:space="preserve"> aprono il 2022 ancora con significativi incrementi tendenziali dei livelli produttivi</w:t>
      </w:r>
      <w:bookmarkStart w:id="1" w:name="_Hlk102721378"/>
      <w:r w:rsidRPr="000F76BF">
        <w:rPr>
          <w:sz w:val="28"/>
          <w:szCs w:val="24"/>
        </w:rPr>
        <w:t xml:space="preserve">. Si segnalano le buone performance del sistema moda: </w:t>
      </w:r>
      <w:r w:rsidR="00732DE4" w:rsidRPr="000F76BF">
        <w:rPr>
          <w:sz w:val="28"/>
          <w:szCs w:val="24"/>
        </w:rPr>
        <w:t>Pelli-Calzature (+2</w:t>
      </w:r>
      <w:r w:rsidR="00732DE4" w:rsidRPr="000F76BF">
        <w:rPr>
          <w:sz w:val="28"/>
          <w:szCs w:val="24"/>
        </w:rPr>
        <w:t>9</w:t>
      </w:r>
      <w:r w:rsidR="00732DE4" w:rsidRPr="000F76BF">
        <w:rPr>
          <w:sz w:val="28"/>
          <w:szCs w:val="24"/>
        </w:rPr>
        <w:t>,</w:t>
      </w:r>
      <w:r w:rsidR="00732DE4" w:rsidRPr="000F76BF">
        <w:rPr>
          <w:sz w:val="28"/>
          <w:szCs w:val="24"/>
        </w:rPr>
        <w:t>0</w:t>
      </w:r>
      <w:r w:rsidR="00732DE4" w:rsidRPr="000F76BF">
        <w:rPr>
          <w:sz w:val="28"/>
          <w:szCs w:val="24"/>
        </w:rPr>
        <w:t>%)</w:t>
      </w:r>
      <w:r w:rsidR="00732DE4" w:rsidRPr="000F76BF">
        <w:rPr>
          <w:sz w:val="28"/>
          <w:szCs w:val="24"/>
        </w:rPr>
        <w:t xml:space="preserve">, </w:t>
      </w:r>
      <w:r w:rsidRPr="000F76BF">
        <w:rPr>
          <w:sz w:val="28"/>
          <w:szCs w:val="24"/>
        </w:rPr>
        <w:t>Abbigliamento (</w:t>
      </w:r>
      <w:r w:rsidR="0094739E" w:rsidRPr="000F76BF">
        <w:rPr>
          <w:sz w:val="28"/>
          <w:szCs w:val="24"/>
        </w:rPr>
        <w:t xml:space="preserve">nonostante un buon </w:t>
      </w:r>
      <w:r w:rsidRPr="000F76BF">
        <w:rPr>
          <w:sz w:val="28"/>
          <w:szCs w:val="24"/>
        </w:rPr>
        <w:t>+2</w:t>
      </w:r>
      <w:r w:rsidR="00732DE4" w:rsidRPr="000F76BF">
        <w:rPr>
          <w:sz w:val="28"/>
          <w:szCs w:val="24"/>
        </w:rPr>
        <w:t>7</w:t>
      </w:r>
      <w:r w:rsidRPr="000F76BF">
        <w:rPr>
          <w:sz w:val="28"/>
          <w:szCs w:val="24"/>
        </w:rPr>
        <w:t>,</w:t>
      </w:r>
      <w:r w:rsidR="00732DE4" w:rsidRPr="000F76BF">
        <w:rPr>
          <w:sz w:val="28"/>
          <w:szCs w:val="24"/>
        </w:rPr>
        <w:t>6</w:t>
      </w:r>
      <w:r w:rsidRPr="000F76BF">
        <w:rPr>
          <w:sz w:val="28"/>
          <w:szCs w:val="24"/>
        </w:rPr>
        <w:t>%</w:t>
      </w:r>
      <w:r w:rsidR="0094739E" w:rsidRPr="000F76BF">
        <w:rPr>
          <w:sz w:val="28"/>
          <w:szCs w:val="24"/>
        </w:rPr>
        <w:t xml:space="preserve"> siamo ancora lontano dai livelli pre-crisi</w:t>
      </w:r>
      <w:r w:rsidRPr="000F76BF">
        <w:rPr>
          <w:sz w:val="28"/>
          <w:szCs w:val="24"/>
        </w:rPr>
        <w:t>) e Tessile (+</w:t>
      </w:r>
      <w:r w:rsidR="00732DE4" w:rsidRPr="000F76BF">
        <w:rPr>
          <w:sz w:val="28"/>
          <w:szCs w:val="24"/>
        </w:rPr>
        <w:t>22</w:t>
      </w:r>
      <w:r w:rsidRPr="000F76BF">
        <w:rPr>
          <w:sz w:val="28"/>
          <w:szCs w:val="24"/>
        </w:rPr>
        <w:t>,</w:t>
      </w:r>
      <w:r w:rsidR="00732DE4" w:rsidRPr="000F76BF">
        <w:rPr>
          <w:sz w:val="28"/>
          <w:szCs w:val="24"/>
        </w:rPr>
        <w:t>8</w:t>
      </w:r>
      <w:r w:rsidRPr="000F76BF">
        <w:rPr>
          <w:sz w:val="28"/>
          <w:szCs w:val="24"/>
        </w:rPr>
        <w:t>%)</w:t>
      </w:r>
      <w:r w:rsidR="00732DE4" w:rsidRPr="000F76BF">
        <w:rPr>
          <w:sz w:val="28"/>
          <w:szCs w:val="24"/>
        </w:rPr>
        <w:t>, settori ripartiti in ritardo ed ora in sensibile recupero</w:t>
      </w:r>
      <w:r w:rsidRPr="000F76BF">
        <w:rPr>
          <w:sz w:val="28"/>
          <w:szCs w:val="24"/>
        </w:rPr>
        <w:t>. Seguono con incrementi sopra la media</w:t>
      </w:r>
      <w:r w:rsidR="00732DE4" w:rsidRPr="000F76BF">
        <w:rPr>
          <w:sz w:val="28"/>
          <w:szCs w:val="24"/>
        </w:rPr>
        <w:t xml:space="preserve"> le</w:t>
      </w:r>
      <w:r w:rsidRPr="000F76BF">
        <w:rPr>
          <w:sz w:val="28"/>
          <w:szCs w:val="24"/>
        </w:rPr>
        <w:t xml:space="preserve"> </w:t>
      </w:r>
      <w:r w:rsidR="00732DE4" w:rsidRPr="000F76BF">
        <w:rPr>
          <w:sz w:val="28"/>
          <w:szCs w:val="24"/>
        </w:rPr>
        <w:t>manifatturiere varie</w:t>
      </w:r>
      <w:r w:rsidRPr="000F76BF">
        <w:rPr>
          <w:sz w:val="28"/>
          <w:szCs w:val="24"/>
        </w:rPr>
        <w:t xml:space="preserve"> (+12,</w:t>
      </w:r>
      <w:r w:rsidR="00732DE4" w:rsidRPr="000F76BF">
        <w:rPr>
          <w:sz w:val="28"/>
          <w:szCs w:val="24"/>
        </w:rPr>
        <w:t>7</w:t>
      </w:r>
      <w:r w:rsidRPr="000F76BF">
        <w:rPr>
          <w:sz w:val="28"/>
          <w:szCs w:val="24"/>
        </w:rPr>
        <w:t xml:space="preserve">%) e </w:t>
      </w:r>
      <w:r w:rsidR="00732DE4" w:rsidRPr="000F76BF">
        <w:rPr>
          <w:sz w:val="28"/>
          <w:szCs w:val="24"/>
        </w:rPr>
        <w:t xml:space="preserve">i </w:t>
      </w:r>
      <w:r w:rsidRPr="000F76BF">
        <w:rPr>
          <w:sz w:val="28"/>
          <w:szCs w:val="24"/>
        </w:rPr>
        <w:t>M</w:t>
      </w:r>
      <w:r w:rsidR="00732DE4" w:rsidRPr="000F76BF">
        <w:rPr>
          <w:sz w:val="28"/>
          <w:szCs w:val="24"/>
        </w:rPr>
        <w:t>inerali non metalliferi</w:t>
      </w:r>
      <w:r w:rsidRPr="000F76BF">
        <w:rPr>
          <w:sz w:val="28"/>
          <w:szCs w:val="24"/>
        </w:rPr>
        <w:t xml:space="preserve"> (+11,5%). Ancora con tassi di crescita a due cifre </w:t>
      </w:r>
      <w:r w:rsidR="00732DE4" w:rsidRPr="000F76BF">
        <w:rPr>
          <w:sz w:val="28"/>
          <w:szCs w:val="24"/>
        </w:rPr>
        <w:t>e</w:t>
      </w:r>
      <w:r w:rsidRPr="000F76BF">
        <w:rPr>
          <w:sz w:val="28"/>
          <w:szCs w:val="24"/>
        </w:rPr>
        <w:t xml:space="preserve"> </w:t>
      </w:r>
      <w:r w:rsidR="00732DE4" w:rsidRPr="000F76BF">
        <w:rPr>
          <w:sz w:val="28"/>
          <w:szCs w:val="24"/>
        </w:rPr>
        <w:t xml:space="preserve">di poco </w:t>
      </w:r>
      <w:r w:rsidRPr="000F76BF">
        <w:rPr>
          <w:sz w:val="28"/>
          <w:szCs w:val="24"/>
        </w:rPr>
        <w:t xml:space="preserve">inferiori alla media, si trovano: </w:t>
      </w:r>
      <w:r w:rsidR="00732DE4" w:rsidRPr="000F76BF">
        <w:rPr>
          <w:sz w:val="28"/>
          <w:szCs w:val="24"/>
        </w:rPr>
        <w:t>la Meccanica (+10,2%), l’Alimentare</w:t>
      </w:r>
      <w:r w:rsidRPr="000F76BF">
        <w:rPr>
          <w:sz w:val="28"/>
          <w:szCs w:val="24"/>
        </w:rPr>
        <w:t xml:space="preserve"> (+10,</w:t>
      </w:r>
      <w:r w:rsidR="00732DE4" w:rsidRPr="000F76BF">
        <w:rPr>
          <w:sz w:val="28"/>
          <w:szCs w:val="24"/>
        </w:rPr>
        <w:t>1</w:t>
      </w:r>
      <w:r w:rsidRPr="000F76BF">
        <w:rPr>
          <w:sz w:val="28"/>
          <w:szCs w:val="24"/>
        </w:rPr>
        <w:t xml:space="preserve">%), </w:t>
      </w:r>
      <w:r w:rsidR="00732DE4" w:rsidRPr="000F76BF">
        <w:rPr>
          <w:sz w:val="28"/>
          <w:szCs w:val="24"/>
        </w:rPr>
        <w:t>la Carta-stampa</w:t>
      </w:r>
      <w:r w:rsidRPr="000F76BF">
        <w:rPr>
          <w:sz w:val="28"/>
          <w:szCs w:val="24"/>
        </w:rPr>
        <w:t xml:space="preserve"> (+10,</w:t>
      </w:r>
      <w:r w:rsidR="00732DE4" w:rsidRPr="000F76BF">
        <w:rPr>
          <w:sz w:val="28"/>
          <w:szCs w:val="24"/>
        </w:rPr>
        <w:t>1</w:t>
      </w:r>
      <w:r w:rsidRPr="000F76BF">
        <w:rPr>
          <w:sz w:val="28"/>
          <w:szCs w:val="24"/>
        </w:rPr>
        <w:t>%)</w:t>
      </w:r>
      <w:r w:rsidR="00732DE4" w:rsidRPr="000F76BF">
        <w:rPr>
          <w:sz w:val="28"/>
          <w:szCs w:val="24"/>
        </w:rPr>
        <w:t>.</w:t>
      </w:r>
      <w:r w:rsidRPr="000F76BF">
        <w:rPr>
          <w:sz w:val="28"/>
          <w:szCs w:val="24"/>
        </w:rPr>
        <w:t xml:space="preserve"> In crescita, ma con intensità minori: </w:t>
      </w:r>
      <w:r w:rsidR="00732DE4" w:rsidRPr="000F76BF">
        <w:rPr>
          <w:sz w:val="28"/>
          <w:szCs w:val="24"/>
        </w:rPr>
        <w:t xml:space="preserve">il Legno-mobilio </w:t>
      </w:r>
      <w:r w:rsidRPr="000F76BF">
        <w:rPr>
          <w:sz w:val="28"/>
          <w:szCs w:val="24"/>
        </w:rPr>
        <w:t xml:space="preserve">(+9,7%), </w:t>
      </w:r>
      <w:r w:rsidR="00732DE4" w:rsidRPr="000F76BF">
        <w:rPr>
          <w:sz w:val="28"/>
          <w:szCs w:val="24"/>
        </w:rPr>
        <w:t xml:space="preserve">la Siderurgia </w:t>
      </w:r>
      <w:r w:rsidRPr="000F76BF">
        <w:rPr>
          <w:sz w:val="28"/>
          <w:szCs w:val="24"/>
        </w:rPr>
        <w:t>(+9,</w:t>
      </w:r>
      <w:r w:rsidR="00732DE4" w:rsidRPr="000F76BF">
        <w:rPr>
          <w:sz w:val="28"/>
          <w:szCs w:val="24"/>
        </w:rPr>
        <w:t>4</w:t>
      </w:r>
      <w:r w:rsidRPr="000F76BF">
        <w:rPr>
          <w:sz w:val="28"/>
          <w:szCs w:val="24"/>
        </w:rPr>
        <w:t xml:space="preserve">%), </w:t>
      </w:r>
      <w:r w:rsidR="00732DE4" w:rsidRPr="000F76BF">
        <w:rPr>
          <w:sz w:val="28"/>
          <w:szCs w:val="24"/>
        </w:rPr>
        <w:t>la gomma-plastica</w:t>
      </w:r>
      <w:r w:rsidRPr="000F76BF">
        <w:rPr>
          <w:sz w:val="28"/>
          <w:szCs w:val="24"/>
        </w:rPr>
        <w:t xml:space="preserve"> (+</w:t>
      </w:r>
      <w:r w:rsidR="00732DE4" w:rsidRPr="000F76BF">
        <w:rPr>
          <w:sz w:val="28"/>
          <w:szCs w:val="24"/>
        </w:rPr>
        <w:t>7</w:t>
      </w:r>
      <w:r w:rsidRPr="000F76BF">
        <w:rPr>
          <w:sz w:val="28"/>
          <w:szCs w:val="24"/>
        </w:rPr>
        <w:t>,</w:t>
      </w:r>
      <w:r w:rsidR="00732DE4" w:rsidRPr="000F76BF">
        <w:rPr>
          <w:sz w:val="28"/>
          <w:szCs w:val="24"/>
        </w:rPr>
        <w:t>5</w:t>
      </w:r>
      <w:r w:rsidRPr="000F76BF">
        <w:rPr>
          <w:sz w:val="28"/>
          <w:szCs w:val="24"/>
        </w:rPr>
        <w:t>%)</w:t>
      </w:r>
      <w:r w:rsidR="00732DE4" w:rsidRPr="000F76BF">
        <w:rPr>
          <w:sz w:val="28"/>
          <w:szCs w:val="24"/>
        </w:rPr>
        <w:t>,</w:t>
      </w:r>
      <w:r w:rsidRPr="000F76BF">
        <w:rPr>
          <w:sz w:val="28"/>
          <w:szCs w:val="24"/>
        </w:rPr>
        <w:t xml:space="preserve"> </w:t>
      </w:r>
      <w:r w:rsidR="00732DE4" w:rsidRPr="000F76BF">
        <w:rPr>
          <w:sz w:val="28"/>
          <w:szCs w:val="24"/>
        </w:rPr>
        <w:t>la Chimica</w:t>
      </w:r>
      <w:r w:rsidRPr="000F76BF">
        <w:rPr>
          <w:sz w:val="28"/>
          <w:szCs w:val="24"/>
        </w:rPr>
        <w:t xml:space="preserve"> (+</w:t>
      </w:r>
      <w:r w:rsidR="00732DE4" w:rsidRPr="000F76BF">
        <w:rPr>
          <w:sz w:val="28"/>
          <w:szCs w:val="24"/>
        </w:rPr>
        <w:t>5</w:t>
      </w:r>
      <w:r w:rsidRPr="000F76BF">
        <w:rPr>
          <w:sz w:val="28"/>
          <w:szCs w:val="24"/>
        </w:rPr>
        <w:t>,</w:t>
      </w:r>
      <w:r w:rsidR="00732DE4" w:rsidRPr="000F76BF">
        <w:rPr>
          <w:sz w:val="28"/>
          <w:szCs w:val="24"/>
        </w:rPr>
        <w:t>9</w:t>
      </w:r>
      <w:r w:rsidRPr="000F76BF">
        <w:rPr>
          <w:sz w:val="28"/>
          <w:szCs w:val="24"/>
        </w:rPr>
        <w:t>%)</w:t>
      </w:r>
      <w:r w:rsidR="00732DE4" w:rsidRPr="000F76BF">
        <w:rPr>
          <w:sz w:val="28"/>
          <w:szCs w:val="24"/>
        </w:rPr>
        <w:t xml:space="preserve"> e i Mezzi di trasporto (+3,4%)</w:t>
      </w:r>
      <w:r w:rsidRPr="000F76BF">
        <w:rPr>
          <w:sz w:val="28"/>
          <w:szCs w:val="24"/>
        </w:rPr>
        <w:t xml:space="preserve">. La propensione all’estero influisce positivamente sui livelli produttivi. I settori con maggiori quote di fatturato estero presentano </w:t>
      </w:r>
      <w:r w:rsidR="00A50B01" w:rsidRPr="000F76BF">
        <w:rPr>
          <w:sz w:val="28"/>
          <w:szCs w:val="24"/>
        </w:rPr>
        <w:t xml:space="preserve">infatti </w:t>
      </w:r>
      <w:r w:rsidRPr="000F76BF">
        <w:rPr>
          <w:sz w:val="28"/>
          <w:szCs w:val="24"/>
        </w:rPr>
        <w:t>livelli dell’indice della produzione maggiori: Meccanica, Pelli-Calzature, Mezzi di trasporto, Gomma-Plastica, Siderurgia e Chimica</w:t>
      </w:r>
      <w:r w:rsidR="00A50B01" w:rsidRPr="000F76BF">
        <w:rPr>
          <w:sz w:val="28"/>
          <w:szCs w:val="24"/>
        </w:rPr>
        <w:t xml:space="preserve">. Fanno eccezione </w:t>
      </w:r>
      <w:r w:rsidR="0094739E" w:rsidRPr="000F76BF">
        <w:rPr>
          <w:sz w:val="28"/>
          <w:szCs w:val="24"/>
        </w:rPr>
        <w:t xml:space="preserve">gli </w:t>
      </w:r>
      <w:r w:rsidRPr="000F76BF">
        <w:rPr>
          <w:sz w:val="28"/>
          <w:szCs w:val="24"/>
        </w:rPr>
        <w:t>Alimentari</w:t>
      </w:r>
      <w:r w:rsidR="0094739E" w:rsidRPr="000F76BF">
        <w:rPr>
          <w:sz w:val="28"/>
          <w:szCs w:val="24"/>
        </w:rPr>
        <w:t xml:space="preserve"> che hanno una quota di fatturato estero inferiore</w:t>
      </w:r>
      <w:r w:rsidR="00A50B01" w:rsidRPr="000F76BF">
        <w:rPr>
          <w:sz w:val="28"/>
          <w:szCs w:val="24"/>
        </w:rPr>
        <w:t xml:space="preserve"> ma una buona performance e</w:t>
      </w:r>
      <w:r w:rsidRPr="000F76BF">
        <w:rPr>
          <w:sz w:val="28"/>
          <w:szCs w:val="24"/>
        </w:rPr>
        <w:t xml:space="preserve"> l’Abbigliamento </w:t>
      </w:r>
      <w:r w:rsidR="00A50B01" w:rsidRPr="000F76BF">
        <w:rPr>
          <w:sz w:val="28"/>
          <w:szCs w:val="24"/>
        </w:rPr>
        <w:t xml:space="preserve">che </w:t>
      </w:r>
      <w:r w:rsidR="0094739E" w:rsidRPr="000F76BF">
        <w:rPr>
          <w:sz w:val="28"/>
          <w:szCs w:val="24"/>
        </w:rPr>
        <w:t xml:space="preserve">– pur internazionalizzato </w:t>
      </w:r>
      <w:r w:rsidR="00BE4246" w:rsidRPr="000F76BF">
        <w:rPr>
          <w:sz w:val="28"/>
          <w:szCs w:val="24"/>
        </w:rPr>
        <w:t>–</w:t>
      </w:r>
      <w:r w:rsidR="0094739E" w:rsidRPr="000F76BF">
        <w:rPr>
          <w:sz w:val="28"/>
          <w:szCs w:val="24"/>
        </w:rPr>
        <w:t xml:space="preserve"> </w:t>
      </w:r>
      <w:r w:rsidR="00BE4246" w:rsidRPr="000F76BF">
        <w:rPr>
          <w:sz w:val="28"/>
          <w:szCs w:val="24"/>
        </w:rPr>
        <w:t xml:space="preserve">resta su </w:t>
      </w:r>
      <w:r w:rsidRPr="000F76BF">
        <w:rPr>
          <w:sz w:val="28"/>
          <w:szCs w:val="24"/>
        </w:rPr>
        <w:t>un basso livello dell’indice della produzione.</w:t>
      </w:r>
      <w:bookmarkEnd w:id="1"/>
    </w:p>
    <w:p w:rsidR="008C7E6F" w:rsidRDefault="008C7E6F" w:rsidP="00803B8D">
      <w:pPr>
        <w:ind w:right="-143"/>
        <w:jc w:val="both"/>
        <w:rPr>
          <w:sz w:val="28"/>
          <w:szCs w:val="24"/>
        </w:rPr>
      </w:pPr>
      <w:r>
        <w:rPr>
          <w:sz w:val="28"/>
          <w:szCs w:val="24"/>
        </w:rPr>
        <w:t xml:space="preserve">Nel comparto </w:t>
      </w:r>
      <w:r w:rsidRPr="00C809FE">
        <w:rPr>
          <w:b/>
          <w:sz w:val="28"/>
          <w:szCs w:val="24"/>
        </w:rPr>
        <w:t>artigiano</w:t>
      </w:r>
      <w:r>
        <w:rPr>
          <w:sz w:val="28"/>
          <w:szCs w:val="24"/>
        </w:rPr>
        <w:t xml:space="preserve"> tutti i settori registrano variazioni tendenziali positive per la produzione, dal +6,7% della Si</w:t>
      </w:r>
      <w:r w:rsidR="00C809FE">
        <w:rPr>
          <w:sz w:val="28"/>
          <w:szCs w:val="24"/>
        </w:rPr>
        <w:t>deru</w:t>
      </w:r>
      <w:r>
        <w:rPr>
          <w:sz w:val="28"/>
          <w:szCs w:val="24"/>
        </w:rPr>
        <w:t xml:space="preserve">rgia al +18,9% del Pelli-calzature. Nel caso dell’artigianato non c’è una correlazione tra </w:t>
      </w:r>
      <w:r w:rsidR="0053709C">
        <w:rPr>
          <w:sz w:val="28"/>
          <w:szCs w:val="24"/>
        </w:rPr>
        <w:t>incidenza dei mercati esteri e livelli produttivi in quanto la loro produzione è prevalentemente destinata al mercato interno (6,9% la quota del fatturato estero).</w:t>
      </w:r>
    </w:p>
    <w:sectPr w:rsidR="008C7E6F" w:rsidSect="007748B8">
      <w:headerReference w:type="default" r:id="rId7"/>
      <w:footerReference w:type="default" r:id="rId8"/>
      <w:pgSz w:w="11906" w:h="16838"/>
      <w:pgMar w:top="1843" w:right="1134" w:bottom="1134" w:left="1134"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B9" w:rsidRDefault="00F318B9" w:rsidP="000D2D56">
      <w:r>
        <w:separator/>
      </w:r>
    </w:p>
  </w:endnote>
  <w:endnote w:type="continuationSeparator" w:id="0">
    <w:p w:rsidR="00F318B9" w:rsidRDefault="00F318B9" w:rsidP="000D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44727"/>
      <w:docPartObj>
        <w:docPartGallery w:val="Page Numbers (Bottom of Page)"/>
        <w:docPartUnique/>
      </w:docPartObj>
    </w:sdtPr>
    <w:sdtEndPr/>
    <w:sdtContent>
      <w:p w:rsidR="00696D69" w:rsidRDefault="00A50493" w:rsidP="00A50493">
        <w:pPr>
          <w:spacing w:line="360" w:lineRule="auto"/>
          <w:ind w:right="-1"/>
          <w:jc w:val="both"/>
        </w:pPr>
        <w:r w:rsidRPr="004E2112">
          <w:rPr>
            <w:i/>
            <w:sz w:val="20"/>
            <w:szCs w:val="18"/>
          </w:rPr>
          <w:t xml:space="preserve">Milano, </w:t>
        </w:r>
        <w:r w:rsidR="00FE6944">
          <w:rPr>
            <w:i/>
            <w:sz w:val="20"/>
            <w:szCs w:val="18"/>
          </w:rPr>
          <w:t>1</w:t>
        </w:r>
        <w:r w:rsidR="00604CFC">
          <w:rPr>
            <w:i/>
            <w:sz w:val="20"/>
            <w:szCs w:val="18"/>
          </w:rPr>
          <w:t>0 maggio</w:t>
        </w:r>
        <w:r w:rsidRPr="004E2112">
          <w:rPr>
            <w:i/>
            <w:sz w:val="20"/>
            <w:szCs w:val="18"/>
          </w:rPr>
          <w:t xml:space="preserve"> 202</w:t>
        </w:r>
        <w:r w:rsidR="00E45AAF">
          <w:rPr>
            <w:i/>
            <w:sz w:val="20"/>
            <w:szCs w:val="18"/>
          </w:rPr>
          <w:t>2</w:t>
        </w:r>
        <w:r>
          <w:rPr>
            <w:i/>
            <w:sz w:val="20"/>
            <w:szCs w:val="18"/>
          </w:rPr>
          <w:tab/>
        </w:r>
        <w:r>
          <w:rPr>
            <w:i/>
            <w:sz w:val="20"/>
            <w:szCs w:val="18"/>
          </w:rPr>
          <w:tab/>
        </w:r>
        <w:r w:rsidR="00696D69">
          <w:tab/>
        </w:r>
        <w:r w:rsidR="00E0412E">
          <w:fldChar w:fldCharType="begin"/>
        </w:r>
        <w:r w:rsidR="00E0412E">
          <w:instrText xml:space="preserve"> PAGE   \* MERGEFORMAT </w:instrText>
        </w:r>
        <w:r w:rsidR="00E0412E">
          <w:fldChar w:fldCharType="separate"/>
        </w:r>
        <w:r w:rsidR="00A50B01">
          <w:rPr>
            <w:noProof/>
          </w:rPr>
          <w:t>2</w:t>
        </w:r>
        <w:r w:rsidR="00E0412E">
          <w:rPr>
            <w:noProof/>
          </w:rPr>
          <w:fldChar w:fldCharType="end"/>
        </w:r>
        <w:r w:rsidR="00696D69">
          <w:tab/>
        </w:r>
        <w:r>
          <w:tab/>
        </w:r>
        <w:r>
          <w:tab/>
        </w:r>
        <w:r>
          <w:tab/>
        </w:r>
        <w:r w:rsidR="00696D69" w:rsidRPr="00696D69">
          <w:rPr>
            <w:i/>
            <w:sz w:val="18"/>
          </w:rPr>
          <w:t>Unioncamere Lombardia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B9" w:rsidRDefault="00F318B9" w:rsidP="000D2D56">
      <w:r>
        <w:separator/>
      </w:r>
    </w:p>
  </w:footnote>
  <w:footnote w:type="continuationSeparator" w:id="0">
    <w:p w:rsidR="00F318B9" w:rsidRDefault="00F318B9" w:rsidP="000D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B8" w:rsidRDefault="007748B8">
    <w:pPr>
      <w:pStyle w:val="Intestazione"/>
    </w:pPr>
    <w:r>
      <w:rPr>
        <w:noProof/>
        <w:sz w:val="22"/>
        <w:szCs w:val="22"/>
        <w:lang w:val="en-GB" w:eastAsia="en-GB"/>
      </w:rPr>
      <w:drawing>
        <wp:inline distT="0" distB="0" distL="0" distR="0" wp14:anchorId="3348DF4A" wp14:editId="0DAAEBEF">
          <wp:extent cx="1409700" cy="514350"/>
          <wp:effectExtent l="19050" t="0" r="0" b="0"/>
          <wp:docPr id="9" name="Immagine 9" descr="ucl-web-mail-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web-mail-2010"/>
                  <pic:cNvPicPr>
                    <a:picLocks noChangeAspect="1" noChangeArrowheads="1"/>
                  </pic:cNvPicPr>
                </pic:nvPicPr>
                <pic:blipFill>
                  <a:blip r:embed="rId1" cstate="print"/>
                  <a:srcRect/>
                  <a:stretch>
                    <a:fillRect/>
                  </a:stretch>
                </pic:blipFill>
                <pic:spPr bwMode="auto">
                  <a:xfrm>
                    <a:off x="0" y="0"/>
                    <a:ext cx="1409700"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34E35"/>
    <w:multiLevelType w:val="hybridMultilevel"/>
    <w:tmpl w:val="0DF85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AE5A7B"/>
    <w:multiLevelType w:val="hybridMultilevel"/>
    <w:tmpl w:val="BBEA9876"/>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3C21728F"/>
    <w:multiLevelType w:val="hybridMultilevel"/>
    <w:tmpl w:val="6F4AC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467F7E"/>
    <w:multiLevelType w:val="hybridMultilevel"/>
    <w:tmpl w:val="8ED4F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17"/>
    <w:rsid w:val="00000581"/>
    <w:rsid w:val="00002F91"/>
    <w:rsid w:val="0001499B"/>
    <w:rsid w:val="00016755"/>
    <w:rsid w:val="00021CC6"/>
    <w:rsid w:val="00032A8C"/>
    <w:rsid w:val="000340D4"/>
    <w:rsid w:val="00041D0B"/>
    <w:rsid w:val="0004222B"/>
    <w:rsid w:val="00043130"/>
    <w:rsid w:val="000544A4"/>
    <w:rsid w:val="00062F4D"/>
    <w:rsid w:val="000648A4"/>
    <w:rsid w:val="000768F4"/>
    <w:rsid w:val="00081932"/>
    <w:rsid w:val="000839CE"/>
    <w:rsid w:val="00084079"/>
    <w:rsid w:val="00086D6B"/>
    <w:rsid w:val="0009188E"/>
    <w:rsid w:val="00095664"/>
    <w:rsid w:val="00095E5C"/>
    <w:rsid w:val="000A06AB"/>
    <w:rsid w:val="000A1180"/>
    <w:rsid w:val="000A43D1"/>
    <w:rsid w:val="000A7BA5"/>
    <w:rsid w:val="000A7BAE"/>
    <w:rsid w:val="000B55A3"/>
    <w:rsid w:val="000C0530"/>
    <w:rsid w:val="000C12E2"/>
    <w:rsid w:val="000C3F60"/>
    <w:rsid w:val="000C45B2"/>
    <w:rsid w:val="000D2D56"/>
    <w:rsid w:val="000E0279"/>
    <w:rsid w:val="000E6682"/>
    <w:rsid w:val="000E7BF0"/>
    <w:rsid w:val="000F76BF"/>
    <w:rsid w:val="0010045D"/>
    <w:rsid w:val="00100D5E"/>
    <w:rsid w:val="00110889"/>
    <w:rsid w:val="00110D6B"/>
    <w:rsid w:val="00111BD0"/>
    <w:rsid w:val="00113732"/>
    <w:rsid w:val="001349C4"/>
    <w:rsid w:val="0013633B"/>
    <w:rsid w:val="00142CE1"/>
    <w:rsid w:val="0014652F"/>
    <w:rsid w:val="001517EE"/>
    <w:rsid w:val="00161E66"/>
    <w:rsid w:val="0016288D"/>
    <w:rsid w:val="00162A2A"/>
    <w:rsid w:val="00171F48"/>
    <w:rsid w:val="00173BC9"/>
    <w:rsid w:val="00175C15"/>
    <w:rsid w:val="0017764C"/>
    <w:rsid w:val="00180AEE"/>
    <w:rsid w:val="00180FEF"/>
    <w:rsid w:val="0019149F"/>
    <w:rsid w:val="001936BA"/>
    <w:rsid w:val="00193FD1"/>
    <w:rsid w:val="00195FEA"/>
    <w:rsid w:val="00197714"/>
    <w:rsid w:val="001A073C"/>
    <w:rsid w:val="001A39FB"/>
    <w:rsid w:val="001A411A"/>
    <w:rsid w:val="001A4405"/>
    <w:rsid w:val="001A4B93"/>
    <w:rsid w:val="001B018E"/>
    <w:rsid w:val="001B1297"/>
    <w:rsid w:val="001B3039"/>
    <w:rsid w:val="001B5FAF"/>
    <w:rsid w:val="001C034B"/>
    <w:rsid w:val="001C5B6B"/>
    <w:rsid w:val="001C7864"/>
    <w:rsid w:val="001D6272"/>
    <w:rsid w:val="001D6444"/>
    <w:rsid w:val="001E2C6F"/>
    <w:rsid w:val="001E355D"/>
    <w:rsid w:val="001F2B03"/>
    <w:rsid w:val="001F3DD3"/>
    <w:rsid w:val="001F616F"/>
    <w:rsid w:val="00201877"/>
    <w:rsid w:val="00201D62"/>
    <w:rsid w:val="00204745"/>
    <w:rsid w:val="0020596B"/>
    <w:rsid w:val="002060A2"/>
    <w:rsid w:val="002064AE"/>
    <w:rsid w:val="00216AE7"/>
    <w:rsid w:val="00222B8F"/>
    <w:rsid w:val="00227665"/>
    <w:rsid w:val="0023509A"/>
    <w:rsid w:val="00242035"/>
    <w:rsid w:val="00245107"/>
    <w:rsid w:val="0025568E"/>
    <w:rsid w:val="002602AB"/>
    <w:rsid w:val="00260D4C"/>
    <w:rsid w:val="00263F04"/>
    <w:rsid w:val="00264D72"/>
    <w:rsid w:val="00265016"/>
    <w:rsid w:val="002813EE"/>
    <w:rsid w:val="00282076"/>
    <w:rsid w:val="00285771"/>
    <w:rsid w:val="002921D3"/>
    <w:rsid w:val="0029504E"/>
    <w:rsid w:val="002A1F63"/>
    <w:rsid w:val="002A6B60"/>
    <w:rsid w:val="002A74BF"/>
    <w:rsid w:val="002B298D"/>
    <w:rsid w:val="002B2C56"/>
    <w:rsid w:val="002B308C"/>
    <w:rsid w:val="002B6075"/>
    <w:rsid w:val="002B65AB"/>
    <w:rsid w:val="002C1727"/>
    <w:rsid w:val="002C1EE8"/>
    <w:rsid w:val="002C3713"/>
    <w:rsid w:val="002C3F51"/>
    <w:rsid w:val="002E3022"/>
    <w:rsid w:val="002E43C9"/>
    <w:rsid w:val="002E6322"/>
    <w:rsid w:val="002F0F57"/>
    <w:rsid w:val="002F51F8"/>
    <w:rsid w:val="00304FE1"/>
    <w:rsid w:val="003148CE"/>
    <w:rsid w:val="00316FCF"/>
    <w:rsid w:val="00317217"/>
    <w:rsid w:val="00320EE1"/>
    <w:rsid w:val="003224AD"/>
    <w:rsid w:val="003224DA"/>
    <w:rsid w:val="0032696B"/>
    <w:rsid w:val="00326E70"/>
    <w:rsid w:val="003274DE"/>
    <w:rsid w:val="00330FCD"/>
    <w:rsid w:val="00334956"/>
    <w:rsid w:val="00335DC3"/>
    <w:rsid w:val="00337394"/>
    <w:rsid w:val="003433C8"/>
    <w:rsid w:val="0035509A"/>
    <w:rsid w:val="00357D9D"/>
    <w:rsid w:val="00364E3D"/>
    <w:rsid w:val="00365D04"/>
    <w:rsid w:val="0037133C"/>
    <w:rsid w:val="003931D4"/>
    <w:rsid w:val="0039454E"/>
    <w:rsid w:val="003A1811"/>
    <w:rsid w:val="003A5AF4"/>
    <w:rsid w:val="003A5FD4"/>
    <w:rsid w:val="003A6D44"/>
    <w:rsid w:val="003B2FC4"/>
    <w:rsid w:val="003B7611"/>
    <w:rsid w:val="003C518E"/>
    <w:rsid w:val="003C59DB"/>
    <w:rsid w:val="003C62C0"/>
    <w:rsid w:val="003E305C"/>
    <w:rsid w:val="0041227A"/>
    <w:rsid w:val="004128E9"/>
    <w:rsid w:val="00413382"/>
    <w:rsid w:val="0042323F"/>
    <w:rsid w:val="00424AE5"/>
    <w:rsid w:val="00427FE3"/>
    <w:rsid w:val="00430502"/>
    <w:rsid w:val="004328D0"/>
    <w:rsid w:val="00435D1D"/>
    <w:rsid w:val="00444F3C"/>
    <w:rsid w:val="00451AAF"/>
    <w:rsid w:val="004522D0"/>
    <w:rsid w:val="00452974"/>
    <w:rsid w:val="00453949"/>
    <w:rsid w:val="00453977"/>
    <w:rsid w:val="00457506"/>
    <w:rsid w:val="004659B1"/>
    <w:rsid w:val="004706F6"/>
    <w:rsid w:val="00471DE3"/>
    <w:rsid w:val="00480750"/>
    <w:rsid w:val="00480801"/>
    <w:rsid w:val="004810DC"/>
    <w:rsid w:val="004812A3"/>
    <w:rsid w:val="00486006"/>
    <w:rsid w:val="00490FC2"/>
    <w:rsid w:val="00491A13"/>
    <w:rsid w:val="00493EE4"/>
    <w:rsid w:val="004A0667"/>
    <w:rsid w:val="004A10FF"/>
    <w:rsid w:val="004A4628"/>
    <w:rsid w:val="004C0C1B"/>
    <w:rsid w:val="004C4B8F"/>
    <w:rsid w:val="004C6B7E"/>
    <w:rsid w:val="004C70A0"/>
    <w:rsid w:val="004D3FCD"/>
    <w:rsid w:val="004D41FB"/>
    <w:rsid w:val="004D6124"/>
    <w:rsid w:val="004E2112"/>
    <w:rsid w:val="004E721A"/>
    <w:rsid w:val="004F01EA"/>
    <w:rsid w:val="004F1BBE"/>
    <w:rsid w:val="004F2C0E"/>
    <w:rsid w:val="004F3A1B"/>
    <w:rsid w:val="004F3E0C"/>
    <w:rsid w:val="005001D7"/>
    <w:rsid w:val="00500DF7"/>
    <w:rsid w:val="00505510"/>
    <w:rsid w:val="00510CBD"/>
    <w:rsid w:val="0051212A"/>
    <w:rsid w:val="00512213"/>
    <w:rsid w:val="005152BA"/>
    <w:rsid w:val="00515E19"/>
    <w:rsid w:val="00516379"/>
    <w:rsid w:val="005166EE"/>
    <w:rsid w:val="00523E74"/>
    <w:rsid w:val="00525E59"/>
    <w:rsid w:val="00534E3B"/>
    <w:rsid w:val="0053709C"/>
    <w:rsid w:val="00541FD6"/>
    <w:rsid w:val="00546F55"/>
    <w:rsid w:val="005473EE"/>
    <w:rsid w:val="00551E48"/>
    <w:rsid w:val="00553EE5"/>
    <w:rsid w:val="0055496F"/>
    <w:rsid w:val="0056058B"/>
    <w:rsid w:val="005765DE"/>
    <w:rsid w:val="00580708"/>
    <w:rsid w:val="00580807"/>
    <w:rsid w:val="00586943"/>
    <w:rsid w:val="005A772F"/>
    <w:rsid w:val="005A7FF3"/>
    <w:rsid w:val="005B199F"/>
    <w:rsid w:val="005C43D5"/>
    <w:rsid w:val="005F07FD"/>
    <w:rsid w:val="005F1057"/>
    <w:rsid w:val="0060050C"/>
    <w:rsid w:val="0060178E"/>
    <w:rsid w:val="006036BD"/>
    <w:rsid w:val="00604CFC"/>
    <w:rsid w:val="0061235F"/>
    <w:rsid w:val="00624116"/>
    <w:rsid w:val="006266D2"/>
    <w:rsid w:val="0063050C"/>
    <w:rsid w:val="00634CA8"/>
    <w:rsid w:val="00635C3F"/>
    <w:rsid w:val="00643E45"/>
    <w:rsid w:val="00645E92"/>
    <w:rsid w:val="0065032D"/>
    <w:rsid w:val="0065439C"/>
    <w:rsid w:val="00656F17"/>
    <w:rsid w:val="00670736"/>
    <w:rsid w:val="006709E6"/>
    <w:rsid w:val="00672E58"/>
    <w:rsid w:val="0067439F"/>
    <w:rsid w:val="006859F0"/>
    <w:rsid w:val="00693062"/>
    <w:rsid w:val="00693117"/>
    <w:rsid w:val="00695F52"/>
    <w:rsid w:val="00696D69"/>
    <w:rsid w:val="0069726E"/>
    <w:rsid w:val="006A17C8"/>
    <w:rsid w:val="006A484F"/>
    <w:rsid w:val="006A7CF5"/>
    <w:rsid w:val="006B1DF8"/>
    <w:rsid w:val="006B1F60"/>
    <w:rsid w:val="006B2902"/>
    <w:rsid w:val="006B41FF"/>
    <w:rsid w:val="006C4E0D"/>
    <w:rsid w:val="006D11EE"/>
    <w:rsid w:val="006D279B"/>
    <w:rsid w:val="006D65F3"/>
    <w:rsid w:val="006F2879"/>
    <w:rsid w:val="006F5733"/>
    <w:rsid w:val="00700A9C"/>
    <w:rsid w:val="0070591B"/>
    <w:rsid w:val="007061BB"/>
    <w:rsid w:val="007070DF"/>
    <w:rsid w:val="0071464F"/>
    <w:rsid w:val="00714802"/>
    <w:rsid w:val="007161D6"/>
    <w:rsid w:val="00721304"/>
    <w:rsid w:val="00723899"/>
    <w:rsid w:val="00725242"/>
    <w:rsid w:val="00732AFE"/>
    <w:rsid w:val="00732DE4"/>
    <w:rsid w:val="007336BE"/>
    <w:rsid w:val="00733E9A"/>
    <w:rsid w:val="007368F0"/>
    <w:rsid w:val="00736E3E"/>
    <w:rsid w:val="007452EF"/>
    <w:rsid w:val="00754C93"/>
    <w:rsid w:val="00755ECB"/>
    <w:rsid w:val="00757471"/>
    <w:rsid w:val="00760477"/>
    <w:rsid w:val="007609CB"/>
    <w:rsid w:val="00761D2B"/>
    <w:rsid w:val="007632AE"/>
    <w:rsid w:val="00766069"/>
    <w:rsid w:val="00770D70"/>
    <w:rsid w:val="007748B8"/>
    <w:rsid w:val="00775DE2"/>
    <w:rsid w:val="00776B66"/>
    <w:rsid w:val="00777E9D"/>
    <w:rsid w:val="0078135E"/>
    <w:rsid w:val="007847F8"/>
    <w:rsid w:val="007A011D"/>
    <w:rsid w:val="007B524E"/>
    <w:rsid w:val="007C00AE"/>
    <w:rsid w:val="007C11A0"/>
    <w:rsid w:val="007C29ED"/>
    <w:rsid w:val="007C5FC2"/>
    <w:rsid w:val="007C789C"/>
    <w:rsid w:val="007C7A0C"/>
    <w:rsid w:val="007D118C"/>
    <w:rsid w:val="007E0705"/>
    <w:rsid w:val="007E77DD"/>
    <w:rsid w:val="007E78D6"/>
    <w:rsid w:val="00801F17"/>
    <w:rsid w:val="00803B8D"/>
    <w:rsid w:val="00805D4F"/>
    <w:rsid w:val="008072AF"/>
    <w:rsid w:val="008137CA"/>
    <w:rsid w:val="00816B56"/>
    <w:rsid w:val="008214D2"/>
    <w:rsid w:val="00822EA7"/>
    <w:rsid w:val="008233C3"/>
    <w:rsid w:val="00827D6D"/>
    <w:rsid w:val="00834951"/>
    <w:rsid w:val="00837750"/>
    <w:rsid w:val="0084297B"/>
    <w:rsid w:val="0084368B"/>
    <w:rsid w:val="00857A24"/>
    <w:rsid w:val="008677EE"/>
    <w:rsid w:val="008706F3"/>
    <w:rsid w:val="008707F5"/>
    <w:rsid w:val="00870B44"/>
    <w:rsid w:val="008737F3"/>
    <w:rsid w:val="00882D69"/>
    <w:rsid w:val="00883968"/>
    <w:rsid w:val="00887A6A"/>
    <w:rsid w:val="00887C1B"/>
    <w:rsid w:val="008C117E"/>
    <w:rsid w:val="008C1D37"/>
    <w:rsid w:val="008C3093"/>
    <w:rsid w:val="008C7E6F"/>
    <w:rsid w:val="008D04C3"/>
    <w:rsid w:val="008E4E61"/>
    <w:rsid w:val="008F173C"/>
    <w:rsid w:val="008F63C0"/>
    <w:rsid w:val="009039C6"/>
    <w:rsid w:val="009043B8"/>
    <w:rsid w:val="009076E7"/>
    <w:rsid w:val="00913393"/>
    <w:rsid w:val="00913CB7"/>
    <w:rsid w:val="0091447E"/>
    <w:rsid w:val="00915453"/>
    <w:rsid w:val="00923388"/>
    <w:rsid w:val="00924DED"/>
    <w:rsid w:val="00931BB8"/>
    <w:rsid w:val="0094077C"/>
    <w:rsid w:val="00944287"/>
    <w:rsid w:val="0094739E"/>
    <w:rsid w:val="0095053B"/>
    <w:rsid w:val="00963631"/>
    <w:rsid w:val="00965DB3"/>
    <w:rsid w:val="00967672"/>
    <w:rsid w:val="00971388"/>
    <w:rsid w:val="009745A8"/>
    <w:rsid w:val="0097749A"/>
    <w:rsid w:val="009907D4"/>
    <w:rsid w:val="00990AB5"/>
    <w:rsid w:val="00992D0D"/>
    <w:rsid w:val="00995CE7"/>
    <w:rsid w:val="009976D0"/>
    <w:rsid w:val="009B2022"/>
    <w:rsid w:val="009B57C1"/>
    <w:rsid w:val="009C2170"/>
    <w:rsid w:val="009C32E4"/>
    <w:rsid w:val="009C3D1B"/>
    <w:rsid w:val="009C4A2A"/>
    <w:rsid w:val="009D23E8"/>
    <w:rsid w:val="009D6A0D"/>
    <w:rsid w:val="009E5649"/>
    <w:rsid w:val="009E7C0B"/>
    <w:rsid w:val="009F7DA0"/>
    <w:rsid w:val="00A032A5"/>
    <w:rsid w:val="00A11A81"/>
    <w:rsid w:val="00A1456E"/>
    <w:rsid w:val="00A14885"/>
    <w:rsid w:val="00A24123"/>
    <w:rsid w:val="00A2732B"/>
    <w:rsid w:val="00A3146E"/>
    <w:rsid w:val="00A351E2"/>
    <w:rsid w:val="00A3638C"/>
    <w:rsid w:val="00A50493"/>
    <w:rsid w:val="00A50973"/>
    <w:rsid w:val="00A50B01"/>
    <w:rsid w:val="00A52E46"/>
    <w:rsid w:val="00A536C0"/>
    <w:rsid w:val="00A61D95"/>
    <w:rsid w:val="00A62D9E"/>
    <w:rsid w:val="00A645B5"/>
    <w:rsid w:val="00A64963"/>
    <w:rsid w:val="00A718DB"/>
    <w:rsid w:val="00A71BD8"/>
    <w:rsid w:val="00A76853"/>
    <w:rsid w:val="00A76952"/>
    <w:rsid w:val="00A8059F"/>
    <w:rsid w:val="00A823B6"/>
    <w:rsid w:val="00A847E4"/>
    <w:rsid w:val="00A852DD"/>
    <w:rsid w:val="00A85EFA"/>
    <w:rsid w:val="00A9075B"/>
    <w:rsid w:val="00A93DAE"/>
    <w:rsid w:val="00A95EE5"/>
    <w:rsid w:val="00A96B0C"/>
    <w:rsid w:val="00A9709A"/>
    <w:rsid w:val="00AA0D2D"/>
    <w:rsid w:val="00AA2F8B"/>
    <w:rsid w:val="00AA40F7"/>
    <w:rsid w:val="00AB0275"/>
    <w:rsid w:val="00AB0D34"/>
    <w:rsid w:val="00AC11C9"/>
    <w:rsid w:val="00AD2CD2"/>
    <w:rsid w:val="00AD7DB5"/>
    <w:rsid w:val="00AE2636"/>
    <w:rsid w:val="00AE2C83"/>
    <w:rsid w:val="00AE720E"/>
    <w:rsid w:val="00AF0A2D"/>
    <w:rsid w:val="00B00BA8"/>
    <w:rsid w:val="00B01CD7"/>
    <w:rsid w:val="00B04DE4"/>
    <w:rsid w:val="00B066BD"/>
    <w:rsid w:val="00B10ED6"/>
    <w:rsid w:val="00B12533"/>
    <w:rsid w:val="00B207AA"/>
    <w:rsid w:val="00B3072C"/>
    <w:rsid w:val="00B360B3"/>
    <w:rsid w:val="00B450C9"/>
    <w:rsid w:val="00B46B2F"/>
    <w:rsid w:val="00B558A2"/>
    <w:rsid w:val="00B56DE9"/>
    <w:rsid w:val="00B65020"/>
    <w:rsid w:val="00B65E99"/>
    <w:rsid w:val="00B65F51"/>
    <w:rsid w:val="00B7212E"/>
    <w:rsid w:val="00B76FB9"/>
    <w:rsid w:val="00B864B9"/>
    <w:rsid w:val="00B93078"/>
    <w:rsid w:val="00B96A59"/>
    <w:rsid w:val="00BA2FF2"/>
    <w:rsid w:val="00BA42A8"/>
    <w:rsid w:val="00BA6D35"/>
    <w:rsid w:val="00BB30F6"/>
    <w:rsid w:val="00BC5637"/>
    <w:rsid w:val="00BD0624"/>
    <w:rsid w:val="00BD71AE"/>
    <w:rsid w:val="00BD760C"/>
    <w:rsid w:val="00BE052F"/>
    <w:rsid w:val="00BE0634"/>
    <w:rsid w:val="00BE2355"/>
    <w:rsid w:val="00BE4246"/>
    <w:rsid w:val="00BF5D1E"/>
    <w:rsid w:val="00BF700D"/>
    <w:rsid w:val="00C03E6D"/>
    <w:rsid w:val="00C048A2"/>
    <w:rsid w:val="00C103DD"/>
    <w:rsid w:val="00C12075"/>
    <w:rsid w:val="00C137FA"/>
    <w:rsid w:val="00C16DAD"/>
    <w:rsid w:val="00C2372B"/>
    <w:rsid w:val="00C24CA0"/>
    <w:rsid w:val="00C27ECF"/>
    <w:rsid w:val="00C51139"/>
    <w:rsid w:val="00C535E1"/>
    <w:rsid w:val="00C55E61"/>
    <w:rsid w:val="00C601E4"/>
    <w:rsid w:val="00C651E7"/>
    <w:rsid w:val="00C67A0B"/>
    <w:rsid w:val="00C67EC4"/>
    <w:rsid w:val="00C717C6"/>
    <w:rsid w:val="00C72F7B"/>
    <w:rsid w:val="00C809FE"/>
    <w:rsid w:val="00C83F5D"/>
    <w:rsid w:val="00C86440"/>
    <w:rsid w:val="00C916F8"/>
    <w:rsid w:val="00CA24BF"/>
    <w:rsid w:val="00CB46C8"/>
    <w:rsid w:val="00CB5907"/>
    <w:rsid w:val="00CB6387"/>
    <w:rsid w:val="00CC3FEE"/>
    <w:rsid w:val="00CD194E"/>
    <w:rsid w:val="00CD1B8E"/>
    <w:rsid w:val="00CD51F3"/>
    <w:rsid w:val="00CD7BB5"/>
    <w:rsid w:val="00CE7457"/>
    <w:rsid w:val="00CE7952"/>
    <w:rsid w:val="00CF0F58"/>
    <w:rsid w:val="00CF14B0"/>
    <w:rsid w:val="00CF4992"/>
    <w:rsid w:val="00D05112"/>
    <w:rsid w:val="00D07241"/>
    <w:rsid w:val="00D07858"/>
    <w:rsid w:val="00D07990"/>
    <w:rsid w:val="00D118C8"/>
    <w:rsid w:val="00D20B59"/>
    <w:rsid w:val="00D233BD"/>
    <w:rsid w:val="00D244CF"/>
    <w:rsid w:val="00D26C78"/>
    <w:rsid w:val="00D27FD6"/>
    <w:rsid w:val="00D343D6"/>
    <w:rsid w:val="00D3521F"/>
    <w:rsid w:val="00D52F2B"/>
    <w:rsid w:val="00D55AA5"/>
    <w:rsid w:val="00D570FA"/>
    <w:rsid w:val="00D5711C"/>
    <w:rsid w:val="00D61200"/>
    <w:rsid w:val="00D6575E"/>
    <w:rsid w:val="00D72359"/>
    <w:rsid w:val="00D727C2"/>
    <w:rsid w:val="00D72D42"/>
    <w:rsid w:val="00D72F23"/>
    <w:rsid w:val="00D7603C"/>
    <w:rsid w:val="00D91A53"/>
    <w:rsid w:val="00D96BEB"/>
    <w:rsid w:val="00D97692"/>
    <w:rsid w:val="00DA4694"/>
    <w:rsid w:val="00DA76AE"/>
    <w:rsid w:val="00DB085C"/>
    <w:rsid w:val="00DB14F8"/>
    <w:rsid w:val="00DC144F"/>
    <w:rsid w:val="00DC4923"/>
    <w:rsid w:val="00DC5D50"/>
    <w:rsid w:val="00DC600B"/>
    <w:rsid w:val="00DD184D"/>
    <w:rsid w:val="00DD70F9"/>
    <w:rsid w:val="00DD73A3"/>
    <w:rsid w:val="00DF07EE"/>
    <w:rsid w:val="00DF55D0"/>
    <w:rsid w:val="00E01564"/>
    <w:rsid w:val="00E0412E"/>
    <w:rsid w:val="00E04513"/>
    <w:rsid w:val="00E105F3"/>
    <w:rsid w:val="00E10F9F"/>
    <w:rsid w:val="00E1234F"/>
    <w:rsid w:val="00E2050F"/>
    <w:rsid w:val="00E22AEA"/>
    <w:rsid w:val="00E34622"/>
    <w:rsid w:val="00E42215"/>
    <w:rsid w:val="00E45AAF"/>
    <w:rsid w:val="00E575DA"/>
    <w:rsid w:val="00E61977"/>
    <w:rsid w:val="00E64134"/>
    <w:rsid w:val="00E67C39"/>
    <w:rsid w:val="00E72F9E"/>
    <w:rsid w:val="00E74D40"/>
    <w:rsid w:val="00E82B5C"/>
    <w:rsid w:val="00E86EA1"/>
    <w:rsid w:val="00E9178E"/>
    <w:rsid w:val="00E928F4"/>
    <w:rsid w:val="00E947A2"/>
    <w:rsid w:val="00E97B89"/>
    <w:rsid w:val="00EA13E1"/>
    <w:rsid w:val="00EA14C1"/>
    <w:rsid w:val="00EA1611"/>
    <w:rsid w:val="00EA1809"/>
    <w:rsid w:val="00EA38C8"/>
    <w:rsid w:val="00EA6F12"/>
    <w:rsid w:val="00EB4CD7"/>
    <w:rsid w:val="00EB7392"/>
    <w:rsid w:val="00ED60E1"/>
    <w:rsid w:val="00EE4213"/>
    <w:rsid w:val="00EF3F8C"/>
    <w:rsid w:val="00EF44F4"/>
    <w:rsid w:val="00F00A9B"/>
    <w:rsid w:val="00F04BEE"/>
    <w:rsid w:val="00F074EE"/>
    <w:rsid w:val="00F10E21"/>
    <w:rsid w:val="00F212A2"/>
    <w:rsid w:val="00F21E80"/>
    <w:rsid w:val="00F2468A"/>
    <w:rsid w:val="00F24AA7"/>
    <w:rsid w:val="00F26C53"/>
    <w:rsid w:val="00F318B9"/>
    <w:rsid w:val="00F373A0"/>
    <w:rsid w:val="00F44AAF"/>
    <w:rsid w:val="00F45050"/>
    <w:rsid w:val="00F50D4E"/>
    <w:rsid w:val="00F66152"/>
    <w:rsid w:val="00F7159E"/>
    <w:rsid w:val="00F73F9E"/>
    <w:rsid w:val="00F82323"/>
    <w:rsid w:val="00F84760"/>
    <w:rsid w:val="00F86DAC"/>
    <w:rsid w:val="00F8702A"/>
    <w:rsid w:val="00F87A8A"/>
    <w:rsid w:val="00F903AF"/>
    <w:rsid w:val="00F91E92"/>
    <w:rsid w:val="00FA02F1"/>
    <w:rsid w:val="00FA0C77"/>
    <w:rsid w:val="00FA3704"/>
    <w:rsid w:val="00FA6653"/>
    <w:rsid w:val="00FA79F8"/>
    <w:rsid w:val="00FC0C7C"/>
    <w:rsid w:val="00FC58F8"/>
    <w:rsid w:val="00FD5AC4"/>
    <w:rsid w:val="00FE3787"/>
    <w:rsid w:val="00FE6944"/>
    <w:rsid w:val="00FF008F"/>
    <w:rsid w:val="00FF12F8"/>
    <w:rsid w:val="00FF7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37571455"/>
  <w15:docId w15:val="{A9EEE273-B073-4A7C-8632-E3A5BE36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7217"/>
    <w:rPr>
      <w:rFonts w:ascii="Verdana" w:hAnsi="Verdana"/>
      <w:sz w:val="24"/>
    </w:rPr>
  </w:style>
  <w:style w:type="paragraph" w:styleId="Titolo7">
    <w:name w:val="heading 7"/>
    <w:basedOn w:val="Normale"/>
    <w:next w:val="Normale"/>
    <w:link w:val="Titolo7Carattere"/>
    <w:qFormat/>
    <w:rsid w:val="00CB46C8"/>
    <w:pPr>
      <w:keepNext/>
      <w:jc w:val="center"/>
      <w:outlineLvl w:val="6"/>
    </w:pPr>
    <w:rPr>
      <w:rFonts w:ascii="Arial" w:hAnsi="Arial"/>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D2D56"/>
    <w:pPr>
      <w:tabs>
        <w:tab w:val="center" w:pos="4819"/>
        <w:tab w:val="right" w:pos="9638"/>
      </w:tabs>
    </w:pPr>
  </w:style>
  <w:style w:type="character" w:customStyle="1" w:styleId="IntestazioneCarattere">
    <w:name w:val="Intestazione Carattere"/>
    <w:link w:val="Intestazione"/>
    <w:rsid w:val="000D2D56"/>
    <w:rPr>
      <w:rFonts w:ascii="Verdana" w:hAnsi="Verdana"/>
      <w:sz w:val="24"/>
    </w:rPr>
  </w:style>
  <w:style w:type="paragraph" w:styleId="Pidipagina">
    <w:name w:val="footer"/>
    <w:basedOn w:val="Normale"/>
    <w:link w:val="PidipaginaCarattere"/>
    <w:uiPriority w:val="99"/>
    <w:rsid w:val="000D2D56"/>
    <w:pPr>
      <w:tabs>
        <w:tab w:val="center" w:pos="4819"/>
        <w:tab w:val="right" w:pos="9638"/>
      </w:tabs>
    </w:pPr>
  </w:style>
  <w:style w:type="character" w:customStyle="1" w:styleId="PidipaginaCarattere">
    <w:name w:val="Piè di pagina Carattere"/>
    <w:link w:val="Pidipagina"/>
    <w:uiPriority w:val="99"/>
    <w:rsid w:val="000D2D56"/>
    <w:rPr>
      <w:rFonts w:ascii="Verdana" w:hAnsi="Verdana"/>
      <w:sz w:val="24"/>
    </w:rPr>
  </w:style>
  <w:style w:type="character" w:customStyle="1" w:styleId="Titolo7Carattere">
    <w:name w:val="Titolo 7 Carattere"/>
    <w:link w:val="Titolo7"/>
    <w:rsid w:val="00CB46C8"/>
    <w:rPr>
      <w:rFonts w:ascii="Arial" w:hAnsi="Arial"/>
      <w:sz w:val="32"/>
    </w:rPr>
  </w:style>
  <w:style w:type="paragraph" w:styleId="Testofumetto">
    <w:name w:val="Balloon Text"/>
    <w:basedOn w:val="Normale"/>
    <w:link w:val="TestofumettoCarattere"/>
    <w:rsid w:val="00BA6D35"/>
    <w:rPr>
      <w:rFonts w:ascii="Segoe UI" w:hAnsi="Segoe UI" w:cs="Segoe UI"/>
      <w:sz w:val="18"/>
      <w:szCs w:val="18"/>
    </w:rPr>
  </w:style>
  <w:style w:type="character" w:customStyle="1" w:styleId="TestofumettoCarattere">
    <w:name w:val="Testo fumetto Carattere"/>
    <w:link w:val="Testofumetto"/>
    <w:rsid w:val="00BA6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949</Words>
  <Characters>5733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Rodeschini</dc:creator>
  <cp:lastModifiedBy>Lorenzo Mezzanzanica</cp:lastModifiedBy>
  <cp:revision>11</cp:revision>
  <cp:lastPrinted>2022-05-05T10:39:00Z</cp:lastPrinted>
  <dcterms:created xsi:type="dcterms:W3CDTF">2022-05-04T15:11:00Z</dcterms:created>
  <dcterms:modified xsi:type="dcterms:W3CDTF">2022-05-06T07:50:00Z</dcterms:modified>
</cp:coreProperties>
</file>