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86" w:rsidRPr="00731073" w:rsidRDefault="00125E55" w:rsidP="002A4E86">
      <w:pPr>
        <w:jc w:val="center"/>
        <w:rPr>
          <w:rFonts w:cstheme="minorHAnsi"/>
          <w:b/>
          <w:sz w:val="26"/>
          <w:szCs w:val="26"/>
        </w:rPr>
      </w:pPr>
      <w:r w:rsidRPr="00731073">
        <w:rPr>
          <w:rFonts w:cstheme="minorHAnsi"/>
          <w:b/>
          <w:sz w:val="26"/>
          <w:szCs w:val="26"/>
        </w:rPr>
        <w:t xml:space="preserve">BANDO </w:t>
      </w:r>
      <w:r w:rsidR="00731073">
        <w:rPr>
          <w:rFonts w:cstheme="minorHAnsi"/>
          <w:b/>
          <w:sz w:val="26"/>
          <w:szCs w:val="26"/>
        </w:rPr>
        <w:t xml:space="preserve">INNOVAZIONE DELLE FILIERE DI ECONOMIA CIRCOLARE IN LOMBARDIA </w:t>
      </w:r>
      <w:r w:rsidR="002A4E86">
        <w:rPr>
          <w:rFonts w:cstheme="minorHAnsi"/>
          <w:b/>
          <w:sz w:val="26"/>
          <w:szCs w:val="26"/>
        </w:rPr>
        <w:t>202</w:t>
      </w:r>
      <w:r w:rsidR="00836E71">
        <w:rPr>
          <w:rFonts w:cstheme="minorHAnsi"/>
          <w:b/>
          <w:sz w:val="26"/>
          <w:szCs w:val="26"/>
        </w:rPr>
        <w:t>2</w:t>
      </w:r>
    </w:p>
    <w:p w:rsidR="00125E55" w:rsidRPr="00731073" w:rsidRDefault="00125E55" w:rsidP="0025114D">
      <w:pPr>
        <w:jc w:val="center"/>
        <w:rPr>
          <w:rFonts w:cstheme="minorHAnsi"/>
          <w:b/>
          <w:sz w:val="26"/>
          <w:szCs w:val="26"/>
        </w:rPr>
      </w:pPr>
      <w:r w:rsidRPr="00731073">
        <w:rPr>
          <w:rFonts w:cstheme="minorHAnsi"/>
          <w:b/>
          <w:sz w:val="26"/>
          <w:szCs w:val="26"/>
        </w:rPr>
        <w:t>ISTRUZIONI PER LA RENDICONTAZIONE</w:t>
      </w:r>
    </w:p>
    <w:p w:rsidR="00D97BC7" w:rsidRPr="00731073" w:rsidRDefault="00D97BC7" w:rsidP="00125E55">
      <w:pPr>
        <w:jc w:val="both"/>
        <w:rPr>
          <w:rFonts w:cstheme="minorHAnsi"/>
        </w:rPr>
      </w:pPr>
    </w:p>
    <w:p w:rsidR="00C54F48" w:rsidRPr="00731073" w:rsidRDefault="00C54F48" w:rsidP="00125E55">
      <w:pPr>
        <w:jc w:val="both"/>
        <w:rPr>
          <w:rFonts w:cstheme="minorHAnsi"/>
        </w:rPr>
      </w:pPr>
      <w:r w:rsidRPr="00731073">
        <w:rPr>
          <w:rFonts w:cstheme="minorHAnsi"/>
        </w:rPr>
        <w:t xml:space="preserve">Tutte le attività e le spese previste nel </w:t>
      </w:r>
      <w:r w:rsidR="009C6EF8" w:rsidRPr="00731073">
        <w:rPr>
          <w:rFonts w:cstheme="minorHAnsi"/>
        </w:rPr>
        <w:t xml:space="preserve">progetto </w:t>
      </w:r>
      <w:r w:rsidRPr="00731073">
        <w:rPr>
          <w:rFonts w:cstheme="minorHAnsi"/>
        </w:rPr>
        <w:t>dovranno essere realiz</w:t>
      </w:r>
      <w:r w:rsidR="006637F4" w:rsidRPr="00731073">
        <w:rPr>
          <w:rFonts w:cstheme="minorHAnsi"/>
        </w:rPr>
        <w:t>z</w:t>
      </w:r>
      <w:r w:rsidRPr="00731073">
        <w:rPr>
          <w:rFonts w:cstheme="minorHAnsi"/>
        </w:rPr>
        <w:t>ate</w:t>
      </w:r>
      <w:r w:rsidR="006637F4" w:rsidRPr="00731073">
        <w:rPr>
          <w:rFonts w:cstheme="minorHAnsi"/>
        </w:rPr>
        <w:t xml:space="preserve"> </w:t>
      </w:r>
      <w:r w:rsidR="00515490" w:rsidRPr="00731073">
        <w:rPr>
          <w:rFonts w:cstheme="minorHAnsi"/>
          <w:b/>
        </w:rPr>
        <w:t xml:space="preserve">entro il </w:t>
      </w:r>
      <w:r w:rsidR="00836E71">
        <w:rPr>
          <w:rFonts w:cstheme="minorHAnsi"/>
          <w:b/>
        </w:rPr>
        <w:t>20 dicembre 2023.</w:t>
      </w:r>
      <w:r w:rsidRPr="00731073">
        <w:rPr>
          <w:rFonts w:cstheme="minorHAnsi"/>
          <w:b/>
        </w:rPr>
        <w:t xml:space="preserve"> </w:t>
      </w:r>
    </w:p>
    <w:p w:rsidR="00CA583B" w:rsidRDefault="00731073" w:rsidP="00693C5E">
      <w:pPr>
        <w:jc w:val="both"/>
        <w:rPr>
          <w:rFonts w:ascii="Arial" w:hAnsi="Arial" w:cs="Arial"/>
          <w:u w:val="single"/>
        </w:rPr>
      </w:pPr>
      <w:r>
        <w:rPr>
          <w:rFonts w:cstheme="minorHAnsi"/>
          <w:b/>
        </w:rPr>
        <w:t xml:space="preserve">La procedura di rendicontazione </w:t>
      </w:r>
      <w:r w:rsidR="006E1106">
        <w:rPr>
          <w:rFonts w:cstheme="minorHAnsi"/>
          <w:b/>
        </w:rPr>
        <w:t>è</w:t>
      </w:r>
      <w:r>
        <w:rPr>
          <w:rFonts w:cstheme="minorHAnsi"/>
          <w:b/>
        </w:rPr>
        <w:t xml:space="preserve"> disponibile </w:t>
      </w:r>
      <w:r w:rsidR="00836E71">
        <w:rPr>
          <w:rFonts w:cstheme="minorHAnsi"/>
          <w:b/>
        </w:rPr>
        <w:t>sul</w:t>
      </w:r>
      <w:r w:rsidR="006E1106">
        <w:rPr>
          <w:rFonts w:cstheme="minorHAnsi"/>
          <w:b/>
        </w:rPr>
        <w:t xml:space="preserve"> portale WEBTELEMACO</w:t>
      </w:r>
      <w:bookmarkStart w:id="0" w:name="_GoBack"/>
      <w:bookmarkEnd w:id="0"/>
      <w:r w:rsidR="00836E71">
        <w:rPr>
          <w:rFonts w:cstheme="minorHAnsi"/>
          <w:b/>
        </w:rPr>
        <w:t>.</w:t>
      </w:r>
    </w:p>
    <w:p w:rsidR="006637F4" w:rsidRPr="00731073" w:rsidRDefault="006637F4" w:rsidP="00693C5E">
      <w:pPr>
        <w:jc w:val="both"/>
        <w:rPr>
          <w:rFonts w:cstheme="minorHAnsi"/>
          <w:u w:val="single"/>
        </w:rPr>
      </w:pPr>
      <w:r w:rsidRPr="00731073">
        <w:rPr>
          <w:rFonts w:cstheme="minorHAnsi"/>
          <w:u w:val="single"/>
        </w:rPr>
        <w:t>COME RENDICONTARE</w:t>
      </w:r>
    </w:p>
    <w:p w:rsidR="00515490" w:rsidRPr="00731073" w:rsidRDefault="00031B12" w:rsidP="00515490">
      <w:pPr>
        <w:contextualSpacing/>
        <w:jc w:val="both"/>
        <w:rPr>
          <w:rFonts w:cstheme="minorHAnsi"/>
          <w:bCs/>
        </w:rPr>
      </w:pPr>
      <w:r w:rsidRPr="00731073">
        <w:rPr>
          <w:rFonts w:cstheme="minorHAnsi"/>
          <w:bCs/>
        </w:rPr>
        <w:t>L’impresa deve</w:t>
      </w:r>
      <w:r w:rsidR="0025114D" w:rsidRPr="00731073">
        <w:rPr>
          <w:rFonts w:cstheme="minorHAnsi"/>
          <w:bCs/>
        </w:rPr>
        <w:t xml:space="preserve"> accedere</w:t>
      </w:r>
      <w:r w:rsidR="002C1C0F" w:rsidRPr="00731073">
        <w:rPr>
          <w:rFonts w:cstheme="minorHAnsi"/>
          <w:bCs/>
        </w:rPr>
        <w:t xml:space="preserve"> con le proprie credenziali</w:t>
      </w:r>
      <w:r w:rsidR="0025114D" w:rsidRPr="00731073">
        <w:rPr>
          <w:rFonts w:cstheme="minorHAnsi"/>
          <w:bCs/>
        </w:rPr>
        <w:t xml:space="preserve"> a </w:t>
      </w:r>
      <w:hyperlink r:id="rId7" w:history="1">
        <w:r w:rsidR="0025114D" w:rsidRPr="00731073">
          <w:rPr>
            <w:rStyle w:val="Collegamentoipertestuale"/>
            <w:rFonts w:cstheme="minorHAnsi"/>
            <w:bCs/>
          </w:rPr>
          <w:t>http://webtelemaco.infocamere.it</w:t>
        </w:r>
      </w:hyperlink>
      <w:r w:rsidR="007B179F" w:rsidRPr="00731073">
        <w:rPr>
          <w:rFonts w:cstheme="minorHAnsi"/>
          <w:bCs/>
        </w:rPr>
        <w:t>,</w:t>
      </w:r>
      <w:r w:rsidR="0025114D" w:rsidRPr="00731073">
        <w:rPr>
          <w:rFonts w:cstheme="minorHAnsi"/>
          <w:bCs/>
        </w:rPr>
        <w:t xml:space="preserve"> </w:t>
      </w:r>
      <w:r w:rsidR="002C1C0F" w:rsidRPr="00731073">
        <w:rPr>
          <w:rFonts w:cstheme="minorHAnsi"/>
          <w:bCs/>
        </w:rPr>
        <w:t>aprire una nuova pratica cliccando su “</w:t>
      </w:r>
      <w:r w:rsidR="000E3565" w:rsidRPr="00731073">
        <w:rPr>
          <w:rFonts w:cstheme="minorHAnsi"/>
          <w:bCs/>
        </w:rPr>
        <w:t>Crea modello</w:t>
      </w:r>
      <w:r w:rsidR="002C1C0F" w:rsidRPr="00731073">
        <w:rPr>
          <w:rFonts w:cstheme="minorHAnsi"/>
          <w:bCs/>
        </w:rPr>
        <w:t xml:space="preserve">”, </w:t>
      </w:r>
      <w:r w:rsidRPr="00731073">
        <w:rPr>
          <w:rFonts w:cstheme="minorHAnsi"/>
          <w:bCs/>
        </w:rPr>
        <w:t>selezionare lo sportello “Unioncamere Lombardia” – tipo pratica “Rendicontazione”</w:t>
      </w:r>
      <w:r w:rsidR="00EB112C" w:rsidRPr="00731073">
        <w:rPr>
          <w:rFonts w:cstheme="minorHAnsi"/>
          <w:bCs/>
        </w:rPr>
        <w:t>, richiamare il numero di protocollo della domanda ammessa a finanziamento</w:t>
      </w:r>
      <w:r w:rsidR="000E5790">
        <w:rPr>
          <w:rFonts w:cstheme="minorHAnsi"/>
          <w:bCs/>
        </w:rPr>
        <w:t xml:space="preserve"> (riportato nella graduatoria dei soggetti ammessi al contributo)</w:t>
      </w:r>
      <w:r w:rsidR="00EB112C" w:rsidRPr="00731073">
        <w:rPr>
          <w:rFonts w:cstheme="minorHAnsi"/>
          <w:bCs/>
        </w:rPr>
        <w:t>,</w:t>
      </w:r>
      <w:r w:rsidR="00515490" w:rsidRPr="00731073">
        <w:rPr>
          <w:rFonts w:cstheme="minorHAnsi"/>
          <w:bCs/>
        </w:rPr>
        <w:t xml:space="preserve"> </w:t>
      </w:r>
      <w:r w:rsidR="00515490" w:rsidRPr="00731073">
        <w:rPr>
          <w:rFonts w:cstheme="minorHAnsi"/>
        </w:rPr>
        <w:t>selezionare lo sportello “Unioncamere Lombardia” e selezionare il bando “2</w:t>
      </w:r>
      <w:r w:rsidR="00836E71">
        <w:rPr>
          <w:rFonts w:cstheme="minorHAnsi"/>
        </w:rPr>
        <w:t>2</w:t>
      </w:r>
      <w:r w:rsidR="00515490" w:rsidRPr="00731073">
        <w:rPr>
          <w:rFonts w:cstheme="minorHAnsi"/>
        </w:rPr>
        <w:t xml:space="preserve">EC </w:t>
      </w:r>
      <w:r w:rsidR="00836E71">
        <w:rPr>
          <w:rFonts w:cstheme="minorHAnsi"/>
        </w:rPr>
        <w:t xml:space="preserve">Bando </w:t>
      </w:r>
      <w:r w:rsidR="00515490" w:rsidRPr="00731073">
        <w:rPr>
          <w:rFonts w:cstheme="minorHAnsi"/>
        </w:rPr>
        <w:t>Economia circolare”. Successivamente:</w:t>
      </w:r>
    </w:p>
    <w:p w:rsidR="00731073" w:rsidRDefault="00515490" w:rsidP="00731073">
      <w:pPr>
        <w:numPr>
          <w:ilvl w:val="0"/>
          <w:numId w:val="7"/>
        </w:numPr>
        <w:spacing w:after="60" w:line="264" w:lineRule="auto"/>
        <w:ind w:left="426" w:hanging="284"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 xml:space="preserve">compilare il </w:t>
      </w:r>
      <w:proofErr w:type="spellStart"/>
      <w:r w:rsidRPr="00ED0068">
        <w:rPr>
          <w:rFonts w:ascii="Calibri" w:hAnsi="Calibri"/>
        </w:rPr>
        <w:t>form</w:t>
      </w:r>
      <w:proofErr w:type="spellEnd"/>
      <w:r w:rsidRPr="00ED0068">
        <w:rPr>
          <w:rFonts w:ascii="Calibri" w:hAnsi="Calibri"/>
        </w:rPr>
        <w:t xml:space="preserve"> con i dati dell’impresa</w:t>
      </w:r>
      <w:r>
        <w:rPr>
          <w:rFonts w:ascii="Calibri" w:hAnsi="Calibri"/>
        </w:rPr>
        <w:t xml:space="preserve"> (solo i campi contrassegnati con *)</w:t>
      </w:r>
      <w:r w:rsidRPr="00ED0068">
        <w:rPr>
          <w:rFonts w:ascii="Calibri" w:hAnsi="Calibri"/>
        </w:rPr>
        <w:t xml:space="preserve"> dal quale si genererà il Modello base della domanda; </w:t>
      </w:r>
    </w:p>
    <w:p w:rsidR="00515490" w:rsidRPr="00731073" w:rsidRDefault="00515490" w:rsidP="00731073">
      <w:pPr>
        <w:numPr>
          <w:ilvl w:val="0"/>
          <w:numId w:val="7"/>
        </w:numPr>
        <w:spacing w:after="60" w:line="264" w:lineRule="auto"/>
        <w:ind w:left="426" w:hanging="284"/>
        <w:jc w:val="both"/>
        <w:rPr>
          <w:rFonts w:ascii="Calibri" w:hAnsi="Calibri"/>
          <w:i/>
        </w:rPr>
      </w:pPr>
      <w:r w:rsidRPr="00731073">
        <w:rPr>
          <w:rFonts w:ascii="Calibri" w:hAnsi="Calibri"/>
        </w:rPr>
        <w:t>firmare</w:t>
      </w:r>
      <w:r w:rsidR="000E5790">
        <w:rPr>
          <w:rFonts w:ascii="Calibri" w:hAnsi="Calibri"/>
        </w:rPr>
        <w:t xml:space="preserve"> </w:t>
      </w:r>
      <w:r w:rsidRPr="00731073">
        <w:rPr>
          <w:rFonts w:ascii="Calibri" w:hAnsi="Calibri"/>
        </w:rPr>
        <w:t>il modello base digitalmente</w:t>
      </w:r>
      <w:r w:rsidR="000E5790">
        <w:rPr>
          <w:rFonts w:ascii="Calibri" w:hAnsi="Calibri"/>
        </w:rPr>
        <w:t xml:space="preserve"> (esclusivamente da parte del Legale rappresentante dell’impresa singola o capofila)</w:t>
      </w:r>
      <w:r w:rsidRPr="00731073">
        <w:rPr>
          <w:rFonts w:ascii="Calibri" w:hAnsi="Calibri"/>
        </w:rPr>
        <w:t xml:space="preserve"> e riallegarlo</w:t>
      </w:r>
      <w:r w:rsidR="00B56D6C" w:rsidRPr="00731073">
        <w:rPr>
          <w:rFonts w:ascii="Calibri" w:hAnsi="Calibri"/>
        </w:rPr>
        <w:t xml:space="preserve">. </w:t>
      </w:r>
      <w:r w:rsidR="00731073" w:rsidRPr="00731073">
        <w:rPr>
          <w:rFonts w:ascii="Calibri" w:hAnsi="Calibri"/>
        </w:rPr>
        <w:t>In questo passaggio,</w:t>
      </w:r>
      <w:r w:rsidR="00731073">
        <w:rPr>
          <w:rFonts w:ascii="Calibri" w:hAnsi="Calibri"/>
        </w:rPr>
        <w:t xml:space="preserve"> prima di inviare il modello base firmato,</w:t>
      </w:r>
      <w:r w:rsidR="00731073" w:rsidRPr="00731073">
        <w:rPr>
          <w:rFonts w:ascii="Calibri" w:hAnsi="Calibri"/>
        </w:rPr>
        <w:t xml:space="preserve"> si raccomanda di prestare attenzione nuovamente allo “sportello di destinazione” che dev’essere sempre impos</w:t>
      </w:r>
      <w:r w:rsidR="00731073">
        <w:rPr>
          <w:rFonts w:ascii="Calibri" w:hAnsi="Calibri"/>
        </w:rPr>
        <w:t>tato su “Unioncamere Lombardia”</w:t>
      </w:r>
      <w:r w:rsidRPr="00731073">
        <w:rPr>
          <w:rFonts w:ascii="Calibri" w:hAnsi="Calibri"/>
        </w:rPr>
        <w:t>;</w:t>
      </w:r>
    </w:p>
    <w:p w:rsidR="00515490" w:rsidRPr="00ED0068" w:rsidRDefault="00515490" w:rsidP="00515490">
      <w:pPr>
        <w:numPr>
          <w:ilvl w:val="0"/>
          <w:numId w:val="7"/>
        </w:numPr>
        <w:spacing w:after="0" w:line="264" w:lineRule="auto"/>
        <w:ind w:left="426" w:hanging="284"/>
        <w:contextualSpacing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>procedere con la funzione “Allega” che consente di allegare alla pratica telematica oltre al modello base anche tutti i seguenti documenti obbligatori previsti dal bando, firmati digitalmente e reperibili sul sito di Unioncamere Lombardia alla sezione</w:t>
      </w:r>
      <w:r>
        <w:rPr>
          <w:rFonts w:ascii="Calibri" w:hAnsi="Calibri"/>
        </w:rPr>
        <w:t xml:space="preserve"> dedicata al Bando</w:t>
      </w:r>
      <w:r w:rsidRPr="00ED0068">
        <w:rPr>
          <w:rFonts w:ascii="Calibri" w:hAnsi="Calibri"/>
        </w:rPr>
        <w:t>:</w:t>
      </w:r>
    </w:p>
    <w:p w:rsidR="00515490" w:rsidRPr="00ED0068" w:rsidRDefault="00515490" w:rsidP="00515490">
      <w:pPr>
        <w:numPr>
          <w:ilvl w:val="1"/>
          <w:numId w:val="6"/>
        </w:numPr>
        <w:spacing w:after="0" w:line="264" w:lineRule="auto"/>
        <w:ind w:left="426" w:firstLine="0"/>
        <w:contextualSpacing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>Modulo di rendicontazione</w:t>
      </w:r>
    </w:p>
    <w:p w:rsidR="00515490" w:rsidRPr="00A945D1" w:rsidRDefault="00515490" w:rsidP="00731073">
      <w:pPr>
        <w:numPr>
          <w:ilvl w:val="1"/>
          <w:numId w:val="6"/>
        </w:numPr>
        <w:spacing w:after="0" w:line="264" w:lineRule="auto"/>
        <w:ind w:left="709" w:hanging="283"/>
        <w:contextualSpacing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 xml:space="preserve">Prospetto delle spese </w:t>
      </w:r>
      <w:r w:rsidRPr="00A945D1">
        <w:rPr>
          <w:rFonts w:ascii="Calibri" w:hAnsi="Calibri"/>
        </w:rPr>
        <w:t>sostenute</w:t>
      </w:r>
      <w:r w:rsidR="00731073">
        <w:rPr>
          <w:rFonts w:ascii="Calibri" w:hAnsi="Calibri"/>
        </w:rPr>
        <w:t xml:space="preserve"> (compilare anche il foglio “Focus spese di personale” per spesare il personale dipendente)</w:t>
      </w:r>
    </w:p>
    <w:p w:rsidR="00515490" w:rsidRPr="00BE35A0" w:rsidRDefault="00515490" w:rsidP="00515490">
      <w:pPr>
        <w:numPr>
          <w:ilvl w:val="1"/>
          <w:numId w:val="6"/>
        </w:numPr>
        <w:spacing w:after="0" w:line="264" w:lineRule="auto"/>
        <w:ind w:left="426" w:firstLine="0"/>
        <w:contextualSpacing/>
        <w:jc w:val="both"/>
        <w:rPr>
          <w:rFonts w:ascii="Calibri" w:hAnsi="Calibri"/>
          <w:i/>
        </w:rPr>
      </w:pPr>
      <w:r w:rsidRPr="00A945D1">
        <w:rPr>
          <w:rFonts w:ascii="Calibri" w:hAnsi="Calibri"/>
        </w:rPr>
        <w:t>Fatture e/o cedolini corredati da quietanze di pagamento</w:t>
      </w:r>
    </w:p>
    <w:p w:rsidR="00BE35A0" w:rsidRPr="00A945D1" w:rsidRDefault="00BE35A0" w:rsidP="00515490">
      <w:pPr>
        <w:numPr>
          <w:ilvl w:val="1"/>
          <w:numId w:val="6"/>
        </w:numPr>
        <w:spacing w:after="0" w:line="264" w:lineRule="auto"/>
        <w:ind w:left="426" w:firstLine="0"/>
        <w:contextualSpacing/>
        <w:jc w:val="both"/>
        <w:rPr>
          <w:rFonts w:ascii="Calibri" w:hAnsi="Calibri"/>
          <w:i/>
        </w:rPr>
      </w:pPr>
      <w:r>
        <w:rPr>
          <w:rFonts w:cs="Arial"/>
        </w:rPr>
        <w:t>Certificazione IBAN dell’impresa beneficiaria su carta intestata dell’Istituto di credito (</w:t>
      </w:r>
      <w:r w:rsidR="00D0769F">
        <w:rPr>
          <w:rFonts w:cs="Arial"/>
        </w:rPr>
        <w:t xml:space="preserve">ovvero </w:t>
      </w:r>
      <w:r>
        <w:rPr>
          <w:rFonts w:cs="Arial"/>
        </w:rPr>
        <w:t>un documento che attesti che l’IBAN inserito a sistema sia effettivamente intestato all’azienda beneficiaria)</w:t>
      </w:r>
    </w:p>
    <w:p w:rsidR="00515490" w:rsidRDefault="00515490" w:rsidP="00515490">
      <w:pPr>
        <w:numPr>
          <w:ilvl w:val="1"/>
          <w:numId w:val="6"/>
        </w:numPr>
        <w:spacing w:after="0" w:line="264" w:lineRule="auto"/>
        <w:ind w:left="709" w:hanging="283"/>
        <w:contextualSpacing/>
        <w:jc w:val="both"/>
        <w:rPr>
          <w:rFonts w:ascii="Calibri" w:hAnsi="Calibri"/>
          <w:i/>
        </w:rPr>
      </w:pPr>
      <w:r w:rsidRPr="00917A5F">
        <w:rPr>
          <w:rFonts w:ascii="Calibri" w:hAnsi="Calibri"/>
        </w:rPr>
        <w:t xml:space="preserve">Eventuale copia del contratto di lavoro per personale di nuova assunzione indicato alla voce di spesa </w:t>
      </w:r>
      <w:r w:rsidR="002A4E86">
        <w:rPr>
          <w:rFonts w:ascii="Calibri" w:hAnsi="Calibri"/>
        </w:rPr>
        <w:t>i</w:t>
      </w:r>
      <w:r w:rsidRPr="00917A5F">
        <w:rPr>
          <w:rFonts w:ascii="Calibri" w:hAnsi="Calibri"/>
        </w:rPr>
        <w:t xml:space="preserve">), con data non antecedente </w:t>
      </w:r>
      <w:r w:rsidR="00836E71">
        <w:rPr>
          <w:rFonts w:ascii="Calibri" w:hAnsi="Calibri"/>
        </w:rPr>
        <w:t>il 23 maggio 2022</w:t>
      </w:r>
    </w:p>
    <w:p w:rsidR="00515490" w:rsidRPr="00ED0068" w:rsidRDefault="00515490" w:rsidP="00515490">
      <w:pPr>
        <w:numPr>
          <w:ilvl w:val="1"/>
          <w:numId w:val="6"/>
        </w:numPr>
        <w:spacing w:after="0" w:line="264" w:lineRule="auto"/>
        <w:ind w:left="426" w:firstLine="0"/>
        <w:contextualSpacing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>Eventuale “</w:t>
      </w:r>
      <w:r w:rsidR="002A4E86">
        <w:rPr>
          <w:rFonts w:ascii="Calibri" w:hAnsi="Calibri"/>
        </w:rPr>
        <w:t>Procura speciale</w:t>
      </w:r>
      <w:r w:rsidRPr="00ED0068">
        <w:rPr>
          <w:rFonts w:ascii="Calibri" w:hAnsi="Calibri"/>
        </w:rPr>
        <w:t>”</w:t>
      </w:r>
    </w:p>
    <w:p w:rsidR="00515490" w:rsidRPr="00ED0068" w:rsidRDefault="00515490" w:rsidP="00515490">
      <w:pPr>
        <w:numPr>
          <w:ilvl w:val="0"/>
          <w:numId w:val="7"/>
        </w:numPr>
        <w:spacing w:after="0" w:line="264" w:lineRule="auto"/>
        <w:ind w:left="426" w:hanging="284"/>
        <w:contextualSpacing/>
        <w:jc w:val="both"/>
        <w:rPr>
          <w:rFonts w:ascii="Calibri" w:hAnsi="Calibri"/>
          <w:i/>
        </w:rPr>
      </w:pPr>
      <w:r w:rsidRPr="00ED0068">
        <w:rPr>
          <w:rFonts w:ascii="Calibri" w:hAnsi="Calibri"/>
        </w:rPr>
        <w:t>al termine, procedere all’invio telematico (seleziona “invio pratica”).</w:t>
      </w:r>
    </w:p>
    <w:p w:rsidR="00731073" w:rsidRDefault="00731073" w:rsidP="00515490">
      <w:pPr>
        <w:spacing w:line="276" w:lineRule="auto"/>
        <w:jc w:val="both"/>
        <w:rPr>
          <w:rFonts w:ascii="Calibri" w:hAnsi="Calibri"/>
          <w:bCs/>
        </w:rPr>
      </w:pPr>
    </w:p>
    <w:p w:rsidR="00515490" w:rsidRPr="00ED0068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 xml:space="preserve">Sono ammessi esclusivamente i pagamenti effettuati dal beneficiario ai fornitori per il tramite di bonifico bancario o postale ovvero con altri strumenti di incasso o di pagamento idonei a consentire la piena tracciabilità delle operazioni (L. 136/2010, art. 3, commi 1 e 3 e successive modificazioni). Non sono ammessi, pena la decadenza del contributo: </w:t>
      </w:r>
    </w:p>
    <w:p w:rsidR="00515490" w:rsidRPr="00ED0068" w:rsidRDefault="00515490" w:rsidP="00515490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>i pagamenti effettuati in contanti e/o tramite compensazione di qualsiasi genere tra il beneficiario ed il fornitore (ad esempio permuta con altri beni mobili, lavori, forniture, servizi, ecc.);</w:t>
      </w:r>
    </w:p>
    <w:p w:rsidR="00515490" w:rsidRPr="00ED0068" w:rsidRDefault="00515490" w:rsidP="00515490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 xml:space="preserve">qualsiasi forma di </w:t>
      </w:r>
      <w:proofErr w:type="spellStart"/>
      <w:r w:rsidRPr="00ED0068">
        <w:rPr>
          <w:rFonts w:ascii="Calibri" w:hAnsi="Calibri"/>
          <w:bCs/>
        </w:rPr>
        <w:t>autofatturazione</w:t>
      </w:r>
      <w:proofErr w:type="spellEnd"/>
      <w:r w:rsidRPr="00ED0068">
        <w:rPr>
          <w:rFonts w:ascii="Calibri" w:hAnsi="Calibri"/>
          <w:bCs/>
        </w:rPr>
        <w:t>;</w:t>
      </w:r>
    </w:p>
    <w:p w:rsidR="00515490" w:rsidRPr="00A945D1" w:rsidRDefault="00515490" w:rsidP="00515490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 xml:space="preserve">gli ordini di pagamento non </w:t>
      </w:r>
      <w:r w:rsidRPr="00A945D1">
        <w:rPr>
          <w:rFonts w:ascii="Calibri" w:hAnsi="Calibri"/>
          <w:bCs/>
        </w:rPr>
        <w:t>eseguiti;</w:t>
      </w:r>
    </w:p>
    <w:p w:rsidR="00515490" w:rsidRPr="00A945D1" w:rsidRDefault="00515490" w:rsidP="00515490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Calibri" w:hAnsi="Calibri"/>
          <w:bCs/>
          <w:i/>
        </w:rPr>
      </w:pPr>
      <w:r w:rsidRPr="00A945D1">
        <w:rPr>
          <w:rFonts w:ascii="Calibri" w:hAnsi="Calibri"/>
          <w:bCs/>
        </w:rPr>
        <w:t xml:space="preserve">le spese sostenute prima del </w:t>
      </w:r>
      <w:r w:rsidR="00836E71">
        <w:rPr>
          <w:rFonts w:ascii="Calibri" w:hAnsi="Calibri"/>
          <w:bCs/>
        </w:rPr>
        <w:t>23 maggio 2022</w:t>
      </w:r>
      <w:r w:rsidRPr="00A945D1">
        <w:rPr>
          <w:rFonts w:ascii="Calibri" w:hAnsi="Calibri"/>
          <w:bCs/>
        </w:rPr>
        <w:t>;</w:t>
      </w:r>
    </w:p>
    <w:p w:rsidR="00515490" w:rsidRPr="00ED0068" w:rsidRDefault="00515490" w:rsidP="00515490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>le spese che risultano non congruenti con le attività dell’intervento presentato e realizzato.</w:t>
      </w:r>
    </w:p>
    <w:p w:rsidR="00515490" w:rsidRPr="00ED0068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0C0B5F">
        <w:rPr>
          <w:rFonts w:ascii="Calibri" w:hAnsi="Calibri" w:cs="Calibri"/>
        </w:rPr>
        <w:lastRenderedPageBreak/>
        <w:t>È</w:t>
      </w:r>
      <w:r w:rsidRPr="00ED0068">
        <w:rPr>
          <w:rFonts w:ascii="Calibri" w:hAnsi="Calibri"/>
          <w:bCs/>
        </w:rPr>
        <w:t xml:space="preserve"> responsabilità dell’impresa conservare la documentazione comprovante l’avvenuto pagamento delle spese con bonifico bancario non revocabile (“eseguito” o “pagato”).</w:t>
      </w:r>
    </w:p>
    <w:p w:rsidR="00515490" w:rsidRPr="00ED0068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 xml:space="preserve">Sarà facoltà di Unioncamere Lombardia, in collaborazione con le Camere di Commercio lombarde, richiedere all’impresa tutte le integrazioni ritenute necessarie per un corretto esame della rendicontazione prodotta; la mancata presentazione di tali integrazioni, entro e non oltre il termine di </w:t>
      </w:r>
      <w:r w:rsidR="002A4E86">
        <w:rPr>
          <w:rFonts w:ascii="Calibri" w:hAnsi="Calibri"/>
          <w:bCs/>
        </w:rPr>
        <w:t>1</w:t>
      </w:r>
      <w:r w:rsidRPr="00ED0068">
        <w:rPr>
          <w:rFonts w:ascii="Calibri" w:hAnsi="Calibri"/>
          <w:bCs/>
        </w:rPr>
        <w:t>0 giorni di calendario dalla ricezione della relativa richiesta, comporta la decadenza totale del contributo.</w:t>
      </w:r>
    </w:p>
    <w:p w:rsidR="00515490" w:rsidRPr="00ED0068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>Verificata la correttezza della documentazione presentata e sulla base delle spese effettivamente sostenute, Unioncamere Lombardia tramite le Camere di Commercio eroga il contributo entro 60 giorni</w:t>
      </w:r>
      <w:r>
        <w:rPr>
          <w:rFonts w:ascii="Calibri" w:hAnsi="Calibri"/>
          <w:bCs/>
        </w:rPr>
        <w:t xml:space="preserve"> </w:t>
      </w:r>
      <w:r w:rsidRPr="00ED0068">
        <w:rPr>
          <w:rFonts w:ascii="Calibri" w:hAnsi="Calibri"/>
          <w:bCs/>
        </w:rPr>
        <w:t>dalla presentazione della rendicontazione finale delle spese sostenute.</w:t>
      </w:r>
      <w:r w:rsidR="002A4E86">
        <w:rPr>
          <w:rFonts w:ascii="Calibri" w:hAnsi="Calibri"/>
          <w:bCs/>
        </w:rPr>
        <w:t xml:space="preserve"> Tale termine potrà essere prorogato in caso si renda necessario richiedere documentazione integrativa.</w:t>
      </w:r>
    </w:p>
    <w:p w:rsidR="00515490" w:rsidRPr="000E6FB2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ED0068">
        <w:rPr>
          <w:rFonts w:ascii="Calibri" w:hAnsi="Calibri"/>
          <w:bCs/>
        </w:rPr>
        <w:t xml:space="preserve">Ai fini dell’erogazione del contributo, </w:t>
      </w:r>
      <w:r w:rsidRPr="000E6FB2">
        <w:rPr>
          <w:rFonts w:ascii="Calibri" w:hAnsi="Calibri"/>
          <w:bCs/>
        </w:rPr>
        <w:t>il progetto deve essere realizzato raggiungendo gli obiettivi dichiarati e con spese effettive e riconosciute (IVA esclusa) superiori o uguali all’investimento minimo e non inferiori al 70% delle spese ammissibili approvate, pena la decadenza del contributo così come precisato al punto D.2 del Bando. Ove le spese rendicontate siano minori a quelle ammesse a contributo e non siano inferiori al 70% delle spese ammissibili approvate, il contributo sarà rideterminato in base all’importo delle spese effettivamente sostenute.</w:t>
      </w:r>
    </w:p>
    <w:p w:rsidR="00515490" w:rsidRPr="00731073" w:rsidRDefault="00515490" w:rsidP="00515490">
      <w:pPr>
        <w:spacing w:line="276" w:lineRule="auto"/>
        <w:jc w:val="both"/>
        <w:rPr>
          <w:rFonts w:ascii="Calibri" w:hAnsi="Calibri"/>
          <w:bCs/>
          <w:i/>
        </w:rPr>
      </w:pPr>
      <w:r w:rsidRPr="00731073">
        <w:rPr>
          <w:rFonts w:ascii="Calibri" w:hAnsi="Calibri"/>
          <w:bCs/>
        </w:rPr>
        <w:t>In caso di aggregazione:</w:t>
      </w:r>
    </w:p>
    <w:p w:rsidR="00515490" w:rsidRPr="000E6FB2" w:rsidRDefault="00515490" w:rsidP="00515490">
      <w:pPr>
        <w:pStyle w:val="Paragrafoelenco"/>
        <w:numPr>
          <w:ilvl w:val="0"/>
          <w:numId w:val="10"/>
        </w:numPr>
        <w:spacing w:line="276" w:lineRule="auto"/>
        <w:contextualSpacing/>
        <w:rPr>
          <w:rFonts w:ascii="Calibri" w:hAnsi="Calibri"/>
          <w:bCs/>
          <w:i/>
        </w:rPr>
      </w:pPr>
      <w:r w:rsidRPr="000E6FB2">
        <w:rPr>
          <w:rFonts w:ascii="Calibri" w:hAnsi="Calibri"/>
          <w:bCs/>
        </w:rPr>
        <w:t>il contributo è erogato direttamente alle singole imprese che compongono l’aggregazione;</w:t>
      </w:r>
    </w:p>
    <w:p w:rsidR="00515490" w:rsidRPr="000E6FB2" w:rsidRDefault="00515490" w:rsidP="00515490">
      <w:pPr>
        <w:pStyle w:val="Paragrafoelenco"/>
        <w:numPr>
          <w:ilvl w:val="0"/>
          <w:numId w:val="10"/>
        </w:numPr>
        <w:spacing w:line="276" w:lineRule="auto"/>
        <w:contextualSpacing/>
        <w:rPr>
          <w:rFonts w:ascii="Calibri" w:hAnsi="Calibri"/>
          <w:bCs/>
          <w:i/>
        </w:rPr>
      </w:pPr>
      <w:r w:rsidRPr="000E6FB2">
        <w:rPr>
          <w:rFonts w:ascii="Calibri" w:hAnsi="Calibri"/>
          <w:bCs/>
        </w:rPr>
        <w:t>la rendicontazione è presentata in un’unica soluzione dal capofila per conto di tutte le imprese che compongono l’aggregazione;</w:t>
      </w:r>
    </w:p>
    <w:p w:rsidR="00515490" w:rsidRPr="000E6FB2" w:rsidRDefault="00515490" w:rsidP="00515490">
      <w:pPr>
        <w:pStyle w:val="Paragrafoelenco"/>
        <w:numPr>
          <w:ilvl w:val="0"/>
          <w:numId w:val="10"/>
        </w:numPr>
        <w:spacing w:line="276" w:lineRule="auto"/>
        <w:contextualSpacing/>
        <w:rPr>
          <w:rFonts w:ascii="Calibri" w:hAnsi="Calibri"/>
          <w:bCs/>
          <w:i/>
        </w:rPr>
      </w:pPr>
      <w:r w:rsidRPr="000E6FB2">
        <w:rPr>
          <w:rFonts w:ascii="Calibri" w:hAnsi="Calibri"/>
          <w:bCs/>
        </w:rPr>
        <w:t>le imprese partecipanti ai progetti mantengono il diritto alla liquidazione del contributo, se dovuto, indipendentemente da eventuale decadenza/rinuncia riguardante altre imprese partecipanti al medesimo progetto, a condizione che siano raggiunti gli obiettivi dichiarati e che le spese effettive e riconosciute (IVA esclusa) dell’intero progetto siano superiori o uguali all’investimento minimo e non inferiori al 70% delle spese ammissibili approvate.</w:t>
      </w:r>
    </w:p>
    <w:p w:rsidR="00515490" w:rsidRPr="0058388D" w:rsidRDefault="00515490" w:rsidP="00031B12">
      <w:pPr>
        <w:contextualSpacing/>
        <w:jc w:val="both"/>
        <w:rPr>
          <w:rFonts w:ascii="Arial" w:hAnsi="Arial" w:cs="Arial"/>
          <w:bCs/>
        </w:rPr>
      </w:pPr>
    </w:p>
    <w:p w:rsidR="00CA583B" w:rsidRDefault="00CA583B" w:rsidP="00031B12">
      <w:pPr>
        <w:rPr>
          <w:rFonts w:ascii="Arial" w:hAnsi="Arial" w:cs="Arial"/>
          <w:u w:val="single"/>
        </w:rPr>
      </w:pPr>
    </w:p>
    <w:p w:rsidR="00693C5E" w:rsidRPr="0058388D" w:rsidRDefault="00693C5E" w:rsidP="00125E55">
      <w:pPr>
        <w:jc w:val="both"/>
        <w:rPr>
          <w:rFonts w:ascii="Arial" w:hAnsi="Arial" w:cs="Arial"/>
        </w:rPr>
      </w:pPr>
    </w:p>
    <w:sectPr w:rsidR="00693C5E" w:rsidRPr="0058388D" w:rsidSect="002C02BB">
      <w:footerReference w:type="default" r:id="rId8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39" w:rsidRDefault="00304C39" w:rsidP="00031B12">
      <w:pPr>
        <w:spacing w:after="0" w:line="240" w:lineRule="auto"/>
      </w:pPr>
      <w:r>
        <w:separator/>
      </w:r>
    </w:p>
  </w:endnote>
  <w:endnote w:type="continuationSeparator" w:id="0">
    <w:p w:rsidR="00304C39" w:rsidRDefault="00304C39" w:rsidP="000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466414"/>
      <w:docPartObj>
        <w:docPartGallery w:val="Page Numbers (Bottom of Page)"/>
        <w:docPartUnique/>
      </w:docPartObj>
    </w:sdtPr>
    <w:sdtEndPr/>
    <w:sdtContent>
      <w:p w:rsidR="0058388D" w:rsidRDefault="0058388D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AA13C" wp14:editId="03084AC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88D" w:rsidRDefault="0058388D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D612F" w:rsidRPr="008D612F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DFAA13C"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58388D" w:rsidRDefault="0058388D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D612F" w:rsidRPr="008D612F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731073">
          <w:t xml:space="preserve">Rendicontazione Bando Economia circolare </w:t>
        </w:r>
        <w:r w:rsidR="002A4E86">
          <w:t>202</w:t>
        </w:r>
        <w:r w:rsidR="00836E71">
          <w:t>2</w:t>
        </w:r>
        <w:r>
          <w:t xml:space="preserve"> – Istruzioni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39" w:rsidRDefault="00304C39" w:rsidP="00031B12">
      <w:pPr>
        <w:spacing w:after="0" w:line="240" w:lineRule="auto"/>
      </w:pPr>
      <w:r>
        <w:separator/>
      </w:r>
    </w:p>
  </w:footnote>
  <w:footnote w:type="continuationSeparator" w:id="0">
    <w:p w:rsidR="00304C39" w:rsidRDefault="00304C39" w:rsidP="0003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3A9"/>
    <w:multiLevelType w:val="hybridMultilevel"/>
    <w:tmpl w:val="24AE83C8"/>
    <w:lvl w:ilvl="0" w:tplc="4F4E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264057"/>
    <w:multiLevelType w:val="hybridMultilevel"/>
    <w:tmpl w:val="2610AB8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F57AE"/>
    <w:multiLevelType w:val="hybridMultilevel"/>
    <w:tmpl w:val="6AA81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C2E"/>
    <w:multiLevelType w:val="hybridMultilevel"/>
    <w:tmpl w:val="1B760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EED287C"/>
    <w:multiLevelType w:val="hybridMultilevel"/>
    <w:tmpl w:val="C0A62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1009"/>
    <w:multiLevelType w:val="hybridMultilevel"/>
    <w:tmpl w:val="457402CA"/>
    <w:lvl w:ilvl="0" w:tplc="7068C1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EA0F00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32E9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D"/>
    <w:rsid w:val="00031B12"/>
    <w:rsid w:val="00054B79"/>
    <w:rsid w:val="000E3565"/>
    <w:rsid w:val="000E5790"/>
    <w:rsid w:val="00122C9B"/>
    <w:rsid w:val="00125E55"/>
    <w:rsid w:val="0025114D"/>
    <w:rsid w:val="002A4E86"/>
    <w:rsid w:val="002C02BB"/>
    <w:rsid w:val="002C1C0F"/>
    <w:rsid w:val="00304C39"/>
    <w:rsid w:val="003333FD"/>
    <w:rsid w:val="00485552"/>
    <w:rsid w:val="00515490"/>
    <w:rsid w:val="0058388D"/>
    <w:rsid w:val="005E5A92"/>
    <w:rsid w:val="0064153C"/>
    <w:rsid w:val="006637F4"/>
    <w:rsid w:val="00693C5E"/>
    <w:rsid w:val="006D0341"/>
    <w:rsid w:val="006E1106"/>
    <w:rsid w:val="006E2296"/>
    <w:rsid w:val="00731073"/>
    <w:rsid w:val="007B179F"/>
    <w:rsid w:val="00836E71"/>
    <w:rsid w:val="008737EB"/>
    <w:rsid w:val="008D612F"/>
    <w:rsid w:val="00993E40"/>
    <w:rsid w:val="009C6EF8"/>
    <w:rsid w:val="00A5367A"/>
    <w:rsid w:val="00AD3938"/>
    <w:rsid w:val="00B56D6C"/>
    <w:rsid w:val="00BE35A0"/>
    <w:rsid w:val="00C157EC"/>
    <w:rsid w:val="00C54F48"/>
    <w:rsid w:val="00C919FA"/>
    <w:rsid w:val="00CA583B"/>
    <w:rsid w:val="00D0769F"/>
    <w:rsid w:val="00D270BF"/>
    <w:rsid w:val="00D97BC7"/>
    <w:rsid w:val="00DF5FA8"/>
    <w:rsid w:val="00EB112C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F9B66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031B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31B12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031B12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031B12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31B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88D"/>
  </w:style>
  <w:style w:type="paragraph" w:styleId="Pidipagina">
    <w:name w:val="footer"/>
    <w:basedOn w:val="Normale"/>
    <w:link w:val="Pidipagina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Carla Ingoglia</cp:lastModifiedBy>
  <cp:revision>4</cp:revision>
  <cp:lastPrinted>2020-12-01T10:24:00Z</cp:lastPrinted>
  <dcterms:created xsi:type="dcterms:W3CDTF">2023-02-28T15:12:00Z</dcterms:created>
  <dcterms:modified xsi:type="dcterms:W3CDTF">2023-02-28T15:20:00Z</dcterms:modified>
</cp:coreProperties>
</file>